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05" w:type="dxa"/>
        <w:tblInd w:w="-142" w:type="dxa"/>
        <w:tblLayout w:type="fixed"/>
        <w:tblCellMar>
          <w:left w:w="0" w:type="dxa"/>
          <w:right w:w="0" w:type="dxa"/>
        </w:tblCellMar>
        <w:tblLook w:val="0000" w:firstRow="0" w:lastRow="0" w:firstColumn="0" w:lastColumn="0" w:noHBand="0" w:noVBand="0"/>
      </w:tblPr>
      <w:tblGrid>
        <w:gridCol w:w="3262"/>
        <w:gridCol w:w="3543"/>
      </w:tblGrid>
      <w:tr w:rsidR="0006636A" w:rsidRPr="00C030F8" w14:paraId="2F38F51D" w14:textId="77777777" w:rsidTr="00B70261">
        <w:trPr>
          <w:trHeight w:val="1905"/>
        </w:trPr>
        <w:tc>
          <w:tcPr>
            <w:tcW w:w="3262" w:type="dxa"/>
          </w:tcPr>
          <w:p w14:paraId="5CF2EA74" w14:textId="0FDD7F5B" w:rsidR="0006636A" w:rsidRPr="00C030F8" w:rsidRDefault="000406DF" w:rsidP="00B70261">
            <w:pPr>
              <w:pStyle w:val="TableContents"/>
              <w:spacing w:line="240" w:lineRule="auto"/>
              <w:rPr>
                <w:b/>
              </w:rPr>
            </w:pPr>
            <w:r w:rsidRPr="00C030F8">
              <w:rPr>
                <w:noProof/>
                <w:lang w:eastAsia="et-EE" w:bidi="ar-SA"/>
              </w:rPr>
              <w:drawing>
                <wp:anchor distT="0" distB="0" distL="114300" distR="114300" simplePos="0" relativeHeight="251658240" behindDoc="0" locked="0" layoutInCell="1" allowOverlap="1" wp14:anchorId="1DB69DA3" wp14:editId="0FACEB08">
                  <wp:simplePos x="0" y="0"/>
                  <wp:positionH relativeFrom="page">
                    <wp:posOffset>-41794</wp:posOffset>
                  </wp:positionH>
                  <wp:positionV relativeFrom="page">
                    <wp:posOffset>-258157</wp:posOffset>
                  </wp:positionV>
                  <wp:extent cx="2876550" cy="933450"/>
                  <wp:effectExtent l="0" t="0" r="0" b="0"/>
                  <wp:wrapNone/>
                  <wp:docPr id="2"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94E16" w14:textId="77777777" w:rsidR="0006636A" w:rsidRPr="00C030F8" w:rsidRDefault="0006636A" w:rsidP="00B70261">
            <w:pPr>
              <w:spacing w:line="240" w:lineRule="auto"/>
            </w:pPr>
          </w:p>
          <w:p w14:paraId="5BD59C0D" w14:textId="77777777" w:rsidR="0006636A" w:rsidRPr="00C030F8" w:rsidRDefault="0006636A" w:rsidP="00B70261">
            <w:pPr>
              <w:spacing w:line="240" w:lineRule="auto"/>
            </w:pPr>
          </w:p>
          <w:p w14:paraId="2CD07484" w14:textId="77777777" w:rsidR="0006636A" w:rsidRPr="00C030F8" w:rsidRDefault="0006636A" w:rsidP="00B70261">
            <w:pPr>
              <w:spacing w:line="240" w:lineRule="auto"/>
            </w:pPr>
          </w:p>
          <w:p w14:paraId="5412C4F8" w14:textId="77777777" w:rsidR="0006636A" w:rsidRPr="00C030F8" w:rsidRDefault="0006636A" w:rsidP="00B70261"/>
          <w:p w14:paraId="6F1B2FD7" w14:textId="77777777" w:rsidR="0006636A" w:rsidRPr="00C030F8" w:rsidRDefault="0006636A" w:rsidP="00B70261"/>
          <w:p w14:paraId="01072B78" w14:textId="77777777" w:rsidR="0006636A" w:rsidRPr="00C030F8" w:rsidRDefault="0006636A" w:rsidP="00B70261">
            <w:pPr>
              <w:jc w:val="right"/>
            </w:pPr>
          </w:p>
        </w:tc>
        <w:tc>
          <w:tcPr>
            <w:tcW w:w="3543" w:type="dxa"/>
          </w:tcPr>
          <w:p w14:paraId="0B1B3E7D" w14:textId="77777777" w:rsidR="0006636A" w:rsidRPr="00C030F8" w:rsidRDefault="0006636A" w:rsidP="00B70261">
            <w:pPr>
              <w:spacing w:line="240" w:lineRule="auto"/>
            </w:pPr>
          </w:p>
        </w:tc>
      </w:tr>
      <w:tr w:rsidR="0006636A" w:rsidRPr="00C030F8" w14:paraId="36310ED3" w14:textId="77777777" w:rsidTr="00B70261">
        <w:trPr>
          <w:trHeight w:val="1985"/>
        </w:trPr>
        <w:tc>
          <w:tcPr>
            <w:tcW w:w="3262" w:type="dxa"/>
          </w:tcPr>
          <w:p w14:paraId="37202540" w14:textId="77777777" w:rsidR="0006636A" w:rsidRPr="00C030F8" w:rsidRDefault="0006636A" w:rsidP="00B70261">
            <w:pPr>
              <w:pStyle w:val="Adressaat"/>
            </w:pPr>
          </w:p>
          <w:p w14:paraId="6741E3EC" w14:textId="0EC58538" w:rsidR="0006636A" w:rsidRPr="00C030F8" w:rsidRDefault="0006636A" w:rsidP="00B70261">
            <w:pPr>
              <w:pStyle w:val="Vahedeta"/>
              <w:rPr>
                <w:szCs w:val="24"/>
              </w:rPr>
            </w:pPr>
            <w:r w:rsidRPr="00C030F8">
              <w:t xml:space="preserve">Lp </w:t>
            </w:r>
            <w:r w:rsidRPr="00C030F8">
              <w:rPr>
                <w:szCs w:val="24"/>
              </w:rPr>
              <w:t>Taivo Kivistik</w:t>
            </w:r>
          </w:p>
          <w:p w14:paraId="65D1CAD2" w14:textId="77777777" w:rsidR="0006636A" w:rsidRPr="00C030F8" w:rsidRDefault="0006636A" w:rsidP="00B70261">
            <w:pPr>
              <w:pStyle w:val="Adressaat"/>
            </w:pPr>
            <w:r w:rsidRPr="00C030F8">
              <w:t>Riigihangete vaidlustuskomisjon</w:t>
            </w:r>
          </w:p>
          <w:p w14:paraId="3C5EBE52" w14:textId="77777777" w:rsidR="0006636A" w:rsidRPr="00C030F8" w:rsidRDefault="0006636A" w:rsidP="00B70261">
            <w:pPr>
              <w:pStyle w:val="Adressaat"/>
              <w:rPr>
                <w:color w:val="000080"/>
                <w:u w:val="single"/>
              </w:rPr>
            </w:pPr>
            <w:hyperlink r:id="rId12" w:history="1">
              <w:r w:rsidRPr="00C030F8">
                <w:rPr>
                  <w:rStyle w:val="Hperlink"/>
                </w:rPr>
                <w:t>vako@fin.ee</w:t>
              </w:r>
            </w:hyperlink>
          </w:p>
        </w:tc>
        <w:tc>
          <w:tcPr>
            <w:tcW w:w="3543" w:type="dxa"/>
          </w:tcPr>
          <w:p w14:paraId="19B81613" w14:textId="77777777" w:rsidR="0006636A" w:rsidRPr="00C030F8" w:rsidRDefault="0006636A" w:rsidP="00B70261">
            <w:pPr>
              <w:spacing w:line="240" w:lineRule="auto"/>
            </w:pPr>
          </w:p>
          <w:p w14:paraId="463398EA" w14:textId="32795BEC" w:rsidR="0006636A" w:rsidRPr="00C030F8" w:rsidRDefault="0006636A" w:rsidP="00B70261">
            <w:pPr>
              <w:spacing w:line="240" w:lineRule="auto"/>
            </w:pPr>
            <w:r w:rsidRPr="00C030F8">
              <w:t xml:space="preserve">                         Teie:</w:t>
            </w:r>
            <w:r w:rsidRPr="00C030F8">
              <w:rPr>
                <w:kern w:val="0"/>
                <w:lang w:eastAsia="et-EE" w:bidi="ar-SA"/>
              </w:rPr>
              <w:t xml:space="preserve"> </w:t>
            </w:r>
            <w:r w:rsidR="00D17971" w:rsidRPr="00C030F8">
              <w:rPr>
                <w:kern w:val="0"/>
                <w:lang w:eastAsia="et-EE" w:bidi="ar-SA"/>
              </w:rPr>
              <w:t>02.06</w:t>
            </w:r>
            <w:r w:rsidRPr="00C030F8">
              <w:rPr>
                <w:kern w:val="0"/>
                <w:lang w:eastAsia="et-EE" w:bidi="ar-SA"/>
              </w:rPr>
              <w:t>.2026</w:t>
            </w:r>
            <w:r w:rsidRPr="00C030F8">
              <w:rPr>
                <w:color w:val="000000" w:themeColor="text1"/>
              </w:rPr>
              <w:t xml:space="preserve"> </w:t>
            </w:r>
          </w:p>
          <w:p w14:paraId="447E23D2" w14:textId="6819D38B" w:rsidR="0006636A" w:rsidRPr="00C030F8" w:rsidRDefault="0006636A" w:rsidP="00B70261">
            <w:pPr>
              <w:spacing w:line="240" w:lineRule="auto"/>
            </w:pPr>
            <w:r w:rsidRPr="00C030F8">
              <w:t xml:space="preserve">                         Meie: 0</w:t>
            </w:r>
            <w:r w:rsidR="00D17971" w:rsidRPr="00C030F8">
              <w:t>5.06</w:t>
            </w:r>
            <w:r w:rsidRPr="00C030F8">
              <w:t xml:space="preserve">.2026 </w:t>
            </w:r>
          </w:p>
        </w:tc>
      </w:tr>
    </w:tbl>
    <w:p w14:paraId="5C9281DB" w14:textId="2E66FAD3" w:rsidR="00B51186" w:rsidRPr="00C030F8" w:rsidRDefault="008F2BC0" w:rsidP="00B51186">
      <w:pPr>
        <w:spacing w:line="240" w:lineRule="auto"/>
        <w:rPr>
          <w:b/>
          <w:bCs/>
        </w:rPr>
      </w:pPr>
      <w:r w:rsidRPr="00C030F8">
        <w:rPr>
          <w:b/>
        </w:rPr>
        <w:t>Vaidlustaja</w:t>
      </w:r>
      <w:r w:rsidR="0006636A" w:rsidRPr="00C030F8">
        <w:rPr>
          <w:b/>
        </w:rPr>
        <w:t>:</w:t>
      </w:r>
      <w:r w:rsidR="0006636A" w:rsidRPr="00C030F8">
        <w:rPr>
          <w:b/>
        </w:rPr>
        <w:tab/>
      </w:r>
      <w:r w:rsidR="0006636A" w:rsidRPr="00C030F8">
        <w:rPr>
          <w:b/>
        </w:rPr>
        <w:tab/>
      </w:r>
      <w:r w:rsidR="0006636A" w:rsidRPr="00C030F8">
        <w:tab/>
      </w:r>
      <w:r w:rsidR="00B51186" w:rsidRPr="00C030F8">
        <w:rPr>
          <w:b/>
          <w:bCs/>
        </w:rPr>
        <w:t>Reisieksperdi Aktsiaselts</w:t>
      </w:r>
    </w:p>
    <w:p w14:paraId="2FC2BAE9" w14:textId="7B8C8ACB" w:rsidR="00DD30DA" w:rsidRPr="00C030F8" w:rsidRDefault="00B51186" w:rsidP="00B51186">
      <w:pPr>
        <w:spacing w:line="240" w:lineRule="auto"/>
        <w:ind w:left="2124" w:firstLine="708"/>
      </w:pPr>
      <w:r w:rsidRPr="00C030F8">
        <w:t>Registrikood 10101104</w:t>
      </w:r>
    </w:p>
    <w:p w14:paraId="55DAA291" w14:textId="77777777" w:rsidR="003029B4" w:rsidRPr="00C030F8" w:rsidRDefault="003029B4" w:rsidP="00DD30DA">
      <w:pPr>
        <w:spacing w:line="240" w:lineRule="auto"/>
        <w:ind w:left="2124" w:firstLine="708"/>
      </w:pPr>
    </w:p>
    <w:p w14:paraId="371CA93A" w14:textId="69C359C7" w:rsidR="008910BE" w:rsidRPr="00C030F8" w:rsidRDefault="008F2BC0" w:rsidP="008910BE">
      <w:pPr>
        <w:spacing w:line="240" w:lineRule="auto"/>
        <w:rPr>
          <w:b/>
          <w:bCs/>
        </w:rPr>
      </w:pPr>
      <w:r w:rsidRPr="00C030F8">
        <w:rPr>
          <w:b/>
          <w:bCs/>
        </w:rPr>
        <w:t>Vaidlustaja</w:t>
      </w:r>
      <w:r w:rsidR="00DD30DA" w:rsidRPr="00C030F8">
        <w:rPr>
          <w:b/>
          <w:bCs/>
        </w:rPr>
        <w:t xml:space="preserve"> esindaja:</w:t>
      </w:r>
      <w:r w:rsidR="003029B4" w:rsidRPr="00C030F8">
        <w:tab/>
      </w:r>
      <w:r w:rsidR="008910BE" w:rsidRPr="00C030F8">
        <w:rPr>
          <w:b/>
          <w:bCs/>
        </w:rPr>
        <w:t xml:space="preserve">Vandeadvokaat Mart </w:t>
      </w:r>
      <w:proofErr w:type="spellStart"/>
      <w:r w:rsidR="008910BE" w:rsidRPr="00C030F8">
        <w:rPr>
          <w:b/>
          <w:bCs/>
        </w:rPr>
        <w:t>Parind</w:t>
      </w:r>
      <w:proofErr w:type="spellEnd"/>
      <w:r w:rsidR="008910BE" w:rsidRPr="00C030F8">
        <w:rPr>
          <w:b/>
          <w:bCs/>
        </w:rPr>
        <w:t xml:space="preserve"> </w:t>
      </w:r>
    </w:p>
    <w:p w14:paraId="6194F12E" w14:textId="77777777" w:rsidR="008910BE" w:rsidRPr="00C030F8" w:rsidRDefault="008910BE" w:rsidP="008910BE">
      <w:pPr>
        <w:spacing w:line="240" w:lineRule="auto"/>
        <w:ind w:left="2124" w:firstLine="708"/>
      </w:pPr>
      <w:r w:rsidRPr="00C030F8">
        <w:t>Advokaadibüroo NOVE</w:t>
      </w:r>
    </w:p>
    <w:p w14:paraId="0F2196A7" w14:textId="4C69865E" w:rsidR="00DD30DA" w:rsidRPr="00C030F8" w:rsidRDefault="008910BE" w:rsidP="008910BE">
      <w:pPr>
        <w:spacing w:line="240" w:lineRule="auto"/>
        <w:ind w:left="2124" w:firstLine="708"/>
      </w:pPr>
      <w:r w:rsidRPr="00C030F8">
        <w:t xml:space="preserve">e-post </w:t>
      </w:r>
      <w:hyperlink r:id="rId13" w:history="1">
        <w:r w:rsidRPr="00C030F8">
          <w:rPr>
            <w:rStyle w:val="Hperlink"/>
          </w:rPr>
          <w:t>mart.parind@nove.ee</w:t>
        </w:r>
      </w:hyperlink>
      <w:r w:rsidRPr="00C030F8">
        <w:t xml:space="preserve"> </w:t>
      </w:r>
    </w:p>
    <w:p w14:paraId="0E564B4B" w14:textId="77777777" w:rsidR="003029B4" w:rsidRPr="00C030F8" w:rsidRDefault="003029B4" w:rsidP="00DD30DA">
      <w:pPr>
        <w:pStyle w:val="Vahedeta1"/>
        <w:ind w:left="2124" w:firstLine="708"/>
        <w:jc w:val="both"/>
        <w:rPr>
          <w:rFonts w:ascii="Times New Roman" w:hAnsi="Times New Roman"/>
          <w:b/>
          <w:sz w:val="24"/>
          <w:szCs w:val="24"/>
          <w:lang w:val="et-EE"/>
        </w:rPr>
      </w:pPr>
    </w:p>
    <w:p w14:paraId="13127ED6" w14:textId="330DA76D" w:rsidR="0006636A" w:rsidRPr="00C030F8" w:rsidRDefault="00596984" w:rsidP="005E13AD">
      <w:pPr>
        <w:pStyle w:val="Vahedeta1"/>
        <w:jc w:val="both"/>
        <w:rPr>
          <w:rFonts w:ascii="Times New Roman" w:hAnsi="Times New Roman"/>
          <w:sz w:val="24"/>
          <w:szCs w:val="24"/>
          <w:lang w:val="et-EE"/>
        </w:rPr>
      </w:pPr>
      <w:r w:rsidRPr="00C030F8">
        <w:rPr>
          <w:rFonts w:ascii="Times New Roman" w:hAnsi="Times New Roman"/>
          <w:b/>
          <w:sz w:val="24"/>
          <w:szCs w:val="24"/>
          <w:lang w:val="et-EE"/>
        </w:rPr>
        <w:t>H</w:t>
      </w:r>
      <w:r w:rsidR="005E13AD" w:rsidRPr="00C030F8">
        <w:rPr>
          <w:rFonts w:ascii="Times New Roman" w:hAnsi="Times New Roman"/>
          <w:b/>
          <w:sz w:val="24"/>
          <w:szCs w:val="24"/>
          <w:lang w:val="et-EE"/>
        </w:rPr>
        <w:t>ankija</w:t>
      </w:r>
      <w:r w:rsidR="005E13AD" w:rsidRPr="00C030F8">
        <w:rPr>
          <w:rFonts w:ascii="Times New Roman" w:hAnsi="Times New Roman"/>
          <w:b/>
          <w:sz w:val="24"/>
          <w:szCs w:val="24"/>
          <w:lang w:val="et-EE"/>
        </w:rPr>
        <w:tab/>
      </w:r>
      <w:r w:rsidR="005E13AD" w:rsidRPr="00C030F8">
        <w:rPr>
          <w:rFonts w:ascii="Times New Roman" w:hAnsi="Times New Roman"/>
          <w:b/>
          <w:sz w:val="24"/>
          <w:szCs w:val="24"/>
          <w:lang w:val="et-EE"/>
        </w:rPr>
        <w:tab/>
      </w:r>
      <w:r w:rsidRPr="00C030F8">
        <w:rPr>
          <w:rFonts w:ascii="Times New Roman" w:hAnsi="Times New Roman"/>
          <w:b/>
          <w:sz w:val="24"/>
          <w:szCs w:val="24"/>
          <w:lang w:val="et-EE"/>
        </w:rPr>
        <w:tab/>
      </w:r>
      <w:r w:rsidR="0006636A" w:rsidRPr="00C030F8">
        <w:rPr>
          <w:rFonts w:ascii="Times New Roman" w:hAnsi="Times New Roman"/>
          <w:b/>
          <w:sz w:val="24"/>
          <w:szCs w:val="24"/>
          <w:lang w:val="et-EE"/>
        </w:rPr>
        <w:t>Riigi Tugiteenuste Keskus</w:t>
      </w:r>
    </w:p>
    <w:p w14:paraId="47988479" w14:textId="77777777" w:rsidR="0006636A" w:rsidRPr="00C030F8" w:rsidRDefault="0006636A" w:rsidP="0006636A">
      <w:pPr>
        <w:pStyle w:val="Vahedeta1"/>
        <w:jc w:val="both"/>
        <w:rPr>
          <w:rFonts w:ascii="Times New Roman" w:hAnsi="Times New Roman"/>
          <w:sz w:val="24"/>
          <w:szCs w:val="24"/>
          <w:lang w:val="et-EE"/>
        </w:rPr>
      </w:pPr>
      <w:r w:rsidRPr="00C030F8">
        <w:rPr>
          <w:rFonts w:ascii="Times New Roman" w:hAnsi="Times New Roman"/>
          <w:sz w:val="24"/>
          <w:szCs w:val="24"/>
          <w:lang w:val="et-EE"/>
        </w:rPr>
        <w:tab/>
      </w:r>
      <w:r w:rsidRPr="00C030F8">
        <w:rPr>
          <w:rFonts w:ascii="Times New Roman" w:hAnsi="Times New Roman"/>
          <w:sz w:val="24"/>
          <w:szCs w:val="24"/>
          <w:lang w:val="et-EE"/>
        </w:rPr>
        <w:tab/>
      </w:r>
      <w:r w:rsidRPr="00C030F8">
        <w:rPr>
          <w:rFonts w:ascii="Times New Roman" w:hAnsi="Times New Roman"/>
          <w:sz w:val="24"/>
          <w:szCs w:val="24"/>
          <w:lang w:val="et-EE"/>
        </w:rPr>
        <w:tab/>
      </w:r>
      <w:r w:rsidRPr="00C030F8">
        <w:rPr>
          <w:rFonts w:ascii="Times New Roman" w:hAnsi="Times New Roman"/>
          <w:sz w:val="24"/>
          <w:szCs w:val="24"/>
          <w:lang w:val="et-EE"/>
        </w:rPr>
        <w:tab/>
        <w:t>registrikood 70007340</w:t>
      </w:r>
    </w:p>
    <w:p w14:paraId="411F00A8" w14:textId="77777777" w:rsidR="0006636A" w:rsidRPr="00C030F8" w:rsidRDefault="0006636A" w:rsidP="0006636A">
      <w:pPr>
        <w:pStyle w:val="Vahedeta1"/>
        <w:ind w:left="2124" w:firstLine="708"/>
        <w:jc w:val="both"/>
        <w:rPr>
          <w:rStyle w:val="Hperlink"/>
          <w:rFonts w:ascii="Times New Roman" w:eastAsiaTheme="majorEastAsia" w:hAnsi="Times New Roman"/>
          <w:sz w:val="24"/>
          <w:szCs w:val="24"/>
          <w:lang w:val="et-EE"/>
        </w:rPr>
      </w:pPr>
      <w:r>
        <w:fldChar w:fldCharType="begin"/>
      </w:r>
      <w:r w:rsidRPr="00E07C35">
        <w:rPr>
          <w:lang w:val="sv-SE"/>
        </w:rPr>
        <w:instrText>HYPERLINK "mailto:info@rtk.ee"</w:instrText>
      </w:r>
      <w:r>
        <w:fldChar w:fldCharType="separate"/>
      </w:r>
      <w:r w:rsidRPr="00C030F8">
        <w:rPr>
          <w:rStyle w:val="Hperlink"/>
          <w:rFonts w:ascii="Times New Roman" w:eastAsiaTheme="majorEastAsia" w:hAnsi="Times New Roman"/>
          <w:sz w:val="24"/>
          <w:szCs w:val="24"/>
          <w:lang w:val="et-EE"/>
        </w:rPr>
        <w:t>info@rtk.ee</w:t>
      </w:r>
      <w:r>
        <w:fldChar w:fldCharType="end"/>
      </w:r>
    </w:p>
    <w:p w14:paraId="5D68F9AE" w14:textId="77777777" w:rsidR="0006636A" w:rsidRPr="00C030F8" w:rsidRDefault="0006636A" w:rsidP="0006636A">
      <w:pPr>
        <w:pStyle w:val="Vahedeta1"/>
        <w:jc w:val="both"/>
        <w:rPr>
          <w:rFonts w:ascii="Times New Roman" w:hAnsi="Times New Roman"/>
          <w:sz w:val="24"/>
          <w:szCs w:val="24"/>
          <w:lang w:val="et-EE"/>
        </w:rPr>
      </w:pPr>
    </w:p>
    <w:p w14:paraId="1F3F8172" w14:textId="1F51B6E4" w:rsidR="0006636A" w:rsidRPr="00C030F8" w:rsidRDefault="00596984" w:rsidP="0006636A">
      <w:pPr>
        <w:pStyle w:val="Default"/>
        <w:rPr>
          <w:rFonts w:ascii="Times New Roman" w:hAnsi="Times New Roman" w:cs="Times New Roman"/>
          <w:b/>
          <w:bCs/>
          <w:color w:val="auto"/>
        </w:rPr>
      </w:pPr>
      <w:r w:rsidRPr="00C030F8">
        <w:rPr>
          <w:rFonts w:ascii="Times New Roman" w:hAnsi="Times New Roman" w:cs="Times New Roman"/>
          <w:b/>
        </w:rPr>
        <w:t>Hankija</w:t>
      </w:r>
      <w:r w:rsidR="005E13AD" w:rsidRPr="00C030F8">
        <w:rPr>
          <w:rFonts w:ascii="Times New Roman" w:hAnsi="Times New Roman" w:cs="Times New Roman"/>
          <w:b/>
        </w:rPr>
        <w:t xml:space="preserve"> e</w:t>
      </w:r>
      <w:r w:rsidR="0006636A" w:rsidRPr="00C030F8">
        <w:rPr>
          <w:rFonts w:ascii="Times New Roman" w:hAnsi="Times New Roman" w:cs="Times New Roman"/>
          <w:b/>
        </w:rPr>
        <w:t>sindaja</w:t>
      </w:r>
      <w:r w:rsidR="0006636A" w:rsidRPr="00C030F8">
        <w:rPr>
          <w:rStyle w:val="Allmrkuseviide"/>
          <w:rFonts w:ascii="Times New Roman" w:eastAsiaTheme="majorEastAsia" w:hAnsi="Times New Roman"/>
          <w:b/>
        </w:rPr>
        <w:footnoteReference w:id="1"/>
      </w:r>
      <w:r w:rsidR="0006636A" w:rsidRPr="00C030F8">
        <w:rPr>
          <w:rFonts w:ascii="Times New Roman" w:hAnsi="Times New Roman" w:cs="Times New Roman"/>
          <w:b/>
        </w:rPr>
        <w:t>:</w:t>
      </w:r>
      <w:r w:rsidR="0006636A" w:rsidRPr="00C030F8">
        <w:rPr>
          <w:rFonts w:ascii="Times New Roman" w:hAnsi="Times New Roman" w:cs="Times New Roman"/>
        </w:rPr>
        <w:tab/>
      </w:r>
      <w:r w:rsidRPr="00C030F8">
        <w:rPr>
          <w:rFonts w:ascii="Times New Roman" w:hAnsi="Times New Roman" w:cs="Times New Roman"/>
        </w:rPr>
        <w:tab/>
      </w:r>
      <w:r w:rsidR="0006636A" w:rsidRPr="00C030F8">
        <w:rPr>
          <w:rFonts w:ascii="Times New Roman" w:hAnsi="Times New Roman" w:cs="Times New Roman"/>
          <w:b/>
          <w:bCs/>
          <w:color w:val="auto"/>
        </w:rPr>
        <w:t>Madina Talu</w:t>
      </w:r>
    </w:p>
    <w:p w14:paraId="6255C835" w14:textId="77777777" w:rsidR="0006636A" w:rsidRPr="00C030F8" w:rsidRDefault="0006636A" w:rsidP="0006636A">
      <w:pPr>
        <w:pStyle w:val="Default"/>
        <w:rPr>
          <w:rFonts w:ascii="Times New Roman" w:hAnsi="Times New Roman" w:cs="Times New Roman"/>
          <w:shd w:val="clear" w:color="auto" w:fill="FFFFFF"/>
        </w:rPr>
      </w:pPr>
      <w:r w:rsidRPr="00C030F8">
        <w:rPr>
          <w:rFonts w:ascii="Times New Roman" w:hAnsi="Times New Roman" w:cs="Times New Roman"/>
          <w:b/>
          <w:bCs/>
          <w:color w:val="auto"/>
        </w:rPr>
        <w:tab/>
      </w:r>
      <w:r w:rsidRPr="00C030F8">
        <w:rPr>
          <w:rFonts w:ascii="Times New Roman" w:hAnsi="Times New Roman" w:cs="Times New Roman"/>
          <w:b/>
          <w:bCs/>
          <w:color w:val="auto"/>
        </w:rPr>
        <w:tab/>
      </w:r>
      <w:r w:rsidRPr="00C030F8">
        <w:rPr>
          <w:rFonts w:ascii="Times New Roman" w:hAnsi="Times New Roman" w:cs="Times New Roman"/>
          <w:b/>
          <w:bCs/>
          <w:color w:val="auto"/>
        </w:rPr>
        <w:tab/>
      </w:r>
      <w:r w:rsidRPr="00C030F8">
        <w:rPr>
          <w:rFonts w:ascii="Times New Roman" w:hAnsi="Times New Roman" w:cs="Times New Roman"/>
          <w:b/>
          <w:bCs/>
          <w:color w:val="auto"/>
        </w:rPr>
        <w:tab/>
      </w:r>
      <w:r w:rsidRPr="00C030F8">
        <w:rPr>
          <w:rFonts w:ascii="Times New Roman" w:hAnsi="Times New Roman" w:cs="Times New Roman"/>
          <w:color w:val="auto"/>
        </w:rPr>
        <w:t>riigihangete talituse juhataja</w:t>
      </w:r>
    </w:p>
    <w:p w14:paraId="0FEE7246" w14:textId="6089A445" w:rsidR="0006636A" w:rsidRPr="00C030F8" w:rsidRDefault="0006636A" w:rsidP="0006636A">
      <w:pPr>
        <w:pStyle w:val="Vahedeta1"/>
        <w:ind w:left="2124" w:firstLine="708"/>
        <w:jc w:val="both"/>
        <w:rPr>
          <w:rFonts w:ascii="Times New Roman" w:eastAsiaTheme="minorEastAsia" w:hAnsi="Times New Roman"/>
          <w:sz w:val="24"/>
          <w:szCs w:val="24"/>
          <w:lang w:val="et-EE" w:eastAsia="et-EE"/>
        </w:rPr>
      </w:pPr>
      <w:r w:rsidRPr="00C030F8">
        <w:rPr>
          <w:rFonts w:ascii="Times New Roman" w:eastAsiaTheme="minorEastAsia" w:hAnsi="Times New Roman"/>
          <w:sz w:val="24"/>
          <w:szCs w:val="24"/>
          <w:lang w:val="et-EE" w:eastAsia="et-EE"/>
        </w:rPr>
        <w:t xml:space="preserve">tel </w:t>
      </w:r>
      <w:r w:rsidRPr="00C030F8">
        <w:rPr>
          <w:rFonts w:ascii="Times New Roman" w:eastAsiaTheme="minorHAnsi" w:hAnsi="Times New Roman"/>
          <w:sz w:val="24"/>
          <w:szCs w:val="24"/>
          <w:lang w:val="et-EE"/>
        </w:rPr>
        <w:t>+372 5918 5257</w:t>
      </w:r>
    </w:p>
    <w:p w14:paraId="49A292D0" w14:textId="5CABE85A" w:rsidR="0006636A" w:rsidRPr="00C030F8" w:rsidRDefault="0006636A" w:rsidP="0006636A">
      <w:pPr>
        <w:pStyle w:val="Vahedeta1"/>
        <w:ind w:left="2124" w:firstLine="708"/>
        <w:jc w:val="both"/>
        <w:rPr>
          <w:rFonts w:ascii="Times New Roman" w:eastAsiaTheme="minorEastAsia" w:hAnsi="Times New Roman"/>
          <w:sz w:val="24"/>
          <w:szCs w:val="24"/>
          <w:lang w:val="et-EE" w:eastAsia="et-EE"/>
        </w:rPr>
      </w:pPr>
      <w:r w:rsidRPr="00C030F8">
        <w:rPr>
          <w:rFonts w:ascii="Times New Roman" w:eastAsiaTheme="minorEastAsia" w:hAnsi="Times New Roman"/>
          <w:sz w:val="24"/>
          <w:szCs w:val="24"/>
          <w:lang w:val="et-EE" w:eastAsia="et-EE"/>
        </w:rPr>
        <w:t xml:space="preserve">e-post: </w:t>
      </w:r>
      <w:r>
        <w:fldChar w:fldCharType="begin"/>
      </w:r>
      <w:r w:rsidRPr="00E07C35">
        <w:rPr>
          <w:lang w:val="et-EE"/>
        </w:rPr>
        <w:instrText>HYPERLINK "mailto:madina.talu@rtk.ee"</w:instrText>
      </w:r>
      <w:r>
        <w:fldChar w:fldCharType="separate"/>
      </w:r>
      <w:r w:rsidRPr="00C030F8">
        <w:rPr>
          <w:rStyle w:val="Hperlink"/>
          <w:rFonts w:ascii="Times New Roman" w:eastAsiaTheme="minorEastAsia" w:hAnsi="Times New Roman"/>
          <w:sz w:val="24"/>
          <w:szCs w:val="24"/>
          <w:lang w:val="et-EE" w:eastAsia="et-EE"/>
        </w:rPr>
        <w:t>madina.talu@rtk.ee</w:t>
      </w:r>
      <w:r>
        <w:fldChar w:fldCharType="end"/>
      </w:r>
      <w:r w:rsidR="00E10B0C" w:rsidRPr="00C030F8">
        <w:rPr>
          <w:rFonts w:ascii="Times New Roman" w:hAnsi="Times New Roman"/>
          <w:sz w:val="24"/>
          <w:szCs w:val="24"/>
          <w:lang w:val="et-EE"/>
        </w:rPr>
        <w:t>;</w:t>
      </w:r>
      <w:r w:rsidR="00E10B0C" w:rsidRPr="00C030F8">
        <w:rPr>
          <w:lang w:val="et-EE"/>
        </w:rPr>
        <w:t xml:space="preserve"> </w:t>
      </w:r>
      <w:r w:rsidRPr="00C030F8">
        <w:rPr>
          <w:rFonts w:ascii="Times New Roman" w:eastAsiaTheme="minorEastAsia" w:hAnsi="Times New Roman"/>
          <w:sz w:val="24"/>
          <w:szCs w:val="24"/>
          <w:lang w:val="et-EE" w:eastAsia="et-EE"/>
        </w:rPr>
        <w:t xml:space="preserve"> </w:t>
      </w:r>
      <w:r w:rsidR="00F5613F">
        <w:fldChar w:fldCharType="begin"/>
      </w:r>
      <w:r w:rsidR="00F5613F" w:rsidRPr="00E07C35">
        <w:rPr>
          <w:lang w:val="et-EE"/>
        </w:rPr>
        <w:instrText>HYPERLINK "mailto:hanked@rtk.ee"</w:instrText>
      </w:r>
      <w:r w:rsidR="00F5613F">
        <w:fldChar w:fldCharType="separate"/>
      </w:r>
      <w:r w:rsidR="00F5613F" w:rsidRPr="00C030F8">
        <w:rPr>
          <w:rStyle w:val="Hperlink"/>
          <w:rFonts w:ascii="Times New Roman" w:eastAsiaTheme="minorEastAsia" w:hAnsi="Times New Roman"/>
          <w:sz w:val="24"/>
          <w:szCs w:val="24"/>
          <w:lang w:val="et-EE" w:eastAsia="et-EE"/>
        </w:rPr>
        <w:t>hanked@rtk.ee</w:t>
      </w:r>
      <w:r w:rsidR="00F5613F">
        <w:fldChar w:fldCharType="end"/>
      </w:r>
      <w:r w:rsidR="00F5613F" w:rsidRPr="00C030F8">
        <w:rPr>
          <w:rFonts w:ascii="Times New Roman" w:eastAsiaTheme="minorEastAsia" w:hAnsi="Times New Roman"/>
          <w:sz w:val="24"/>
          <w:szCs w:val="24"/>
          <w:lang w:val="et-EE" w:eastAsia="et-EE"/>
        </w:rPr>
        <w:t xml:space="preserve"> </w:t>
      </w:r>
    </w:p>
    <w:p w14:paraId="7CE715EB" w14:textId="77777777" w:rsidR="0006636A" w:rsidRPr="00C030F8" w:rsidRDefault="0006636A" w:rsidP="0006636A">
      <w:pPr>
        <w:pStyle w:val="Vahedeta1"/>
        <w:jc w:val="both"/>
        <w:rPr>
          <w:rFonts w:ascii="Times New Roman" w:hAnsi="Times New Roman"/>
          <w:sz w:val="24"/>
          <w:szCs w:val="24"/>
          <w:lang w:val="et-EE"/>
        </w:rPr>
      </w:pPr>
    </w:p>
    <w:p w14:paraId="6DAF8E47" w14:textId="77777777" w:rsidR="0006636A" w:rsidRPr="00C030F8" w:rsidRDefault="0006636A" w:rsidP="0006636A">
      <w:pPr>
        <w:spacing w:line="240" w:lineRule="auto"/>
        <w:ind w:left="2832"/>
      </w:pPr>
    </w:p>
    <w:p w14:paraId="02F22C70" w14:textId="77777777" w:rsidR="0006636A" w:rsidRPr="00C030F8" w:rsidRDefault="0006636A" w:rsidP="0006636A">
      <w:pPr>
        <w:spacing w:line="240" w:lineRule="auto"/>
      </w:pPr>
    </w:p>
    <w:p w14:paraId="43533A9F" w14:textId="77777777" w:rsidR="0006636A" w:rsidRPr="00C030F8" w:rsidRDefault="0006636A" w:rsidP="0006636A">
      <w:pPr>
        <w:pStyle w:val="Vahedeta1"/>
        <w:spacing w:after="120"/>
        <w:jc w:val="both"/>
        <w:rPr>
          <w:rFonts w:ascii="Times New Roman" w:hAnsi="Times New Roman"/>
          <w:b/>
          <w:sz w:val="24"/>
          <w:szCs w:val="24"/>
          <w:lang w:val="et-EE"/>
        </w:rPr>
      </w:pPr>
      <w:r w:rsidRPr="00C030F8">
        <w:rPr>
          <w:rFonts w:ascii="Times New Roman" w:hAnsi="Times New Roman"/>
          <w:b/>
          <w:sz w:val="24"/>
          <w:szCs w:val="24"/>
          <w:lang w:val="et-EE"/>
        </w:rPr>
        <w:t>VASTUS VAIDLUSTUSELE</w:t>
      </w:r>
    </w:p>
    <w:p w14:paraId="11F123D9" w14:textId="1445AD6D" w:rsidR="0006636A" w:rsidRPr="00C030F8" w:rsidRDefault="0006636A" w:rsidP="0047041E">
      <w:pPr>
        <w:autoSpaceDE w:val="0"/>
        <w:autoSpaceDN w:val="0"/>
        <w:adjustRightInd w:val="0"/>
        <w:spacing w:after="240" w:line="240" w:lineRule="auto"/>
      </w:pPr>
      <w:r w:rsidRPr="00C030F8">
        <w:rPr>
          <w:bCs/>
        </w:rPr>
        <w:t xml:space="preserve">riigihankes </w:t>
      </w:r>
      <w:r w:rsidR="00B61FFC" w:rsidRPr="00C030F8">
        <w:t>„Ürituste korraldamine Sotsiaalkindlustusametile“</w:t>
      </w:r>
      <w:r w:rsidRPr="00C030F8">
        <w:rPr>
          <w:bCs/>
        </w:rPr>
        <w:t xml:space="preserve"> (viitenumber </w:t>
      </w:r>
      <w:r w:rsidR="00F55246" w:rsidRPr="00C030F8">
        <w:rPr>
          <w:bCs/>
        </w:rPr>
        <w:t>303358</w:t>
      </w:r>
      <w:r w:rsidR="00334FFA" w:rsidRPr="00C030F8">
        <w:rPr>
          <w:bCs/>
        </w:rPr>
        <w:t>)</w:t>
      </w:r>
    </w:p>
    <w:p w14:paraId="1FA9FB8B" w14:textId="77777777" w:rsidR="0001462D" w:rsidRPr="00C030F8" w:rsidRDefault="0006636A" w:rsidP="0001462D">
      <w:pPr>
        <w:pStyle w:val="Snum"/>
        <w:spacing w:after="120"/>
        <w:ind w:left="0"/>
      </w:pPr>
      <w:r w:rsidRPr="00C030F8">
        <w:t>Hankija taotlused:</w:t>
      </w:r>
    </w:p>
    <w:p w14:paraId="54FB188B" w14:textId="77777777" w:rsidR="0001462D" w:rsidRPr="00C030F8" w:rsidRDefault="0001462D" w:rsidP="0001462D">
      <w:pPr>
        <w:pStyle w:val="Snum"/>
        <w:numPr>
          <w:ilvl w:val="0"/>
          <w:numId w:val="6"/>
        </w:numPr>
        <w:spacing w:after="120"/>
      </w:pPr>
      <w:r w:rsidRPr="00C030F8">
        <w:t>Jätta vaidlustus RHS § 197 lg 1 p 4 alusel rahuldamata ning jätta jõusse hankija 21.05.2026 otsus, millega lükati tagasi Reisieksperdi Aktsiaseltsi pakkumus.</w:t>
      </w:r>
    </w:p>
    <w:p w14:paraId="33B5E104" w14:textId="77777777" w:rsidR="0001462D" w:rsidRPr="00C030F8" w:rsidRDefault="0001462D" w:rsidP="0001462D">
      <w:pPr>
        <w:pStyle w:val="Snum"/>
        <w:numPr>
          <w:ilvl w:val="0"/>
          <w:numId w:val="6"/>
        </w:numPr>
        <w:spacing w:after="120"/>
      </w:pPr>
      <w:r w:rsidRPr="00C030F8">
        <w:t>Vaadata vaidlustus läbi kirjalikus menetluses.</w:t>
      </w:r>
    </w:p>
    <w:p w14:paraId="2F2ADECD" w14:textId="5F1E97E4" w:rsidR="0006636A" w:rsidRPr="00C030F8" w:rsidRDefault="0001462D" w:rsidP="0001462D">
      <w:pPr>
        <w:pStyle w:val="Snum"/>
        <w:numPr>
          <w:ilvl w:val="0"/>
          <w:numId w:val="6"/>
        </w:numPr>
        <w:spacing w:after="120"/>
      </w:pPr>
      <w:r w:rsidRPr="00C030F8">
        <w:t>Jätta RHS § 198 lg 3 alusel kõik vaidlustusmenetluse kulud, sh vaidlustuselt tasutud riigilõiv ja vaidlustusmenetlusega seotud esindaja kulud, vaidlustaja kanda.</w:t>
      </w:r>
    </w:p>
    <w:p w14:paraId="1AB225CF" w14:textId="5E97D19D" w:rsidR="0006636A" w:rsidRPr="00C030F8" w:rsidRDefault="0006636A" w:rsidP="002A459A">
      <w:pPr>
        <w:pStyle w:val="Snum"/>
        <w:numPr>
          <w:ilvl w:val="0"/>
          <w:numId w:val="1"/>
        </w:numPr>
        <w:rPr>
          <w:bCs/>
        </w:rPr>
      </w:pPr>
      <w:r w:rsidRPr="00C030F8">
        <w:t>ASJAOLUD</w:t>
      </w:r>
    </w:p>
    <w:p w14:paraId="3F6126AE" w14:textId="77777777" w:rsidR="0006636A" w:rsidRPr="00C030F8" w:rsidRDefault="0006636A" w:rsidP="0006636A">
      <w:pPr>
        <w:pStyle w:val="Loendilik"/>
        <w:spacing w:after="120" w:line="240" w:lineRule="auto"/>
        <w:ind w:left="567"/>
        <w:contextualSpacing w:val="0"/>
        <w:rPr>
          <w:color w:val="000000"/>
          <w:sz w:val="2"/>
          <w:szCs w:val="2"/>
        </w:rPr>
      </w:pPr>
    </w:p>
    <w:p w14:paraId="47D0F259" w14:textId="77777777" w:rsidR="00AA3520" w:rsidRPr="00C030F8" w:rsidRDefault="0006636A" w:rsidP="0047041E">
      <w:pPr>
        <w:pStyle w:val="Loendilik"/>
        <w:numPr>
          <w:ilvl w:val="1"/>
          <w:numId w:val="1"/>
        </w:numPr>
        <w:spacing w:after="120" w:line="240" w:lineRule="auto"/>
        <w:ind w:left="567" w:hanging="567"/>
        <w:contextualSpacing w:val="0"/>
        <w:rPr>
          <w:bCs/>
        </w:rPr>
      </w:pPr>
      <w:r w:rsidRPr="00C030F8">
        <w:t>Hankija viib läbi riigihanget „</w:t>
      </w:r>
      <w:r w:rsidR="00CA232A" w:rsidRPr="00C030F8">
        <w:t xml:space="preserve">Ürituste korraldamine </w:t>
      </w:r>
      <w:r w:rsidR="00CA232A" w:rsidRPr="00C030F8">
        <w:lastRenderedPageBreak/>
        <w:t>Sotsiaalkindlustusametile</w:t>
      </w:r>
      <w:r w:rsidRPr="00C030F8">
        <w:t xml:space="preserve">“ (viitenumber </w:t>
      </w:r>
      <w:r w:rsidR="00CA232A" w:rsidRPr="00C030F8">
        <w:t>303358</w:t>
      </w:r>
      <w:r w:rsidRPr="00C030F8">
        <w:t>).</w:t>
      </w:r>
    </w:p>
    <w:p w14:paraId="3E2C514C" w14:textId="06B47476" w:rsidR="00CC6443" w:rsidRPr="00C030F8" w:rsidRDefault="00462D8F" w:rsidP="0047041E">
      <w:pPr>
        <w:pStyle w:val="Loendilik"/>
        <w:numPr>
          <w:ilvl w:val="1"/>
          <w:numId w:val="1"/>
        </w:numPr>
        <w:spacing w:after="120" w:line="240" w:lineRule="auto"/>
        <w:ind w:left="567" w:hanging="567"/>
        <w:contextualSpacing w:val="0"/>
        <w:rPr>
          <w:bCs/>
        </w:rPr>
      </w:pPr>
      <w:r w:rsidRPr="00C030F8">
        <w:rPr>
          <w:bCs/>
        </w:rPr>
        <w:t>Riigihankes</w:t>
      </w:r>
      <w:r w:rsidR="009F7FB8" w:rsidRPr="00C030F8">
        <w:rPr>
          <w:bCs/>
        </w:rPr>
        <w:t xml:space="preserve"> on üheks hindamiskriteeriumiks</w:t>
      </w:r>
      <w:r w:rsidR="00FD155F" w:rsidRPr="00C030F8">
        <w:rPr>
          <w:bCs/>
        </w:rPr>
        <w:t xml:space="preserve">, osakaaluga 20, </w:t>
      </w:r>
      <w:r w:rsidR="009F7FB8" w:rsidRPr="00C030F8">
        <w:rPr>
          <w:bCs/>
        </w:rPr>
        <w:t xml:space="preserve"> </w:t>
      </w:r>
      <w:r w:rsidR="00FD155F" w:rsidRPr="00C030F8">
        <w:rPr>
          <w:bCs/>
        </w:rPr>
        <w:t>ürituse korraldusteenuse teenustasu protsent ostetud teenuse maksumusest.</w:t>
      </w:r>
    </w:p>
    <w:p w14:paraId="050A6665" w14:textId="3D912F38" w:rsidR="002B2328" w:rsidRPr="00C030F8" w:rsidRDefault="00A94266" w:rsidP="0047041E">
      <w:pPr>
        <w:pStyle w:val="Loendilik"/>
        <w:numPr>
          <w:ilvl w:val="1"/>
          <w:numId w:val="1"/>
        </w:numPr>
        <w:spacing w:after="120" w:line="240" w:lineRule="auto"/>
        <w:ind w:left="567" w:hanging="567"/>
        <w:contextualSpacing w:val="0"/>
        <w:rPr>
          <w:bCs/>
        </w:rPr>
      </w:pPr>
      <w:r w:rsidRPr="00C030F8">
        <w:rPr>
          <w:bCs/>
        </w:rPr>
        <w:t>V</w:t>
      </w:r>
      <w:r w:rsidR="002B2328" w:rsidRPr="00C030F8">
        <w:rPr>
          <w:bCs/>
        </w:rPr>
        <w:t xml:space="preserve">aidlustaja pakutud </w:t>
      </w:r>
      <w:r w:rsidR="00860A62" w:rsidRPr="00C030F8">
        <w:rPr>
          <w:bCs/>
        </w:rPr>
        <w:t xml:space="preserve">teenustasu </w:t>
      </w:r>
      <w:r w:rsidR="002E6074" w:rsidRPr="00C030F8">
        <w:rPr>
          <w:bCs/>
        </w:rPr>
        <w:t>3,88%</w:t>
      </w:r>
      <w:r w:rsidR="00860A62" w:rsidRPr="00C030F8">
        <w:rPr>
          <w:bCs/>
        </w:rPr>
        <w:t xml:space="preserve"> o</w:t>
      </w:r>
      <w:r w:rsidR="005E3C7A" w:rsidRPr="00C030F8">
        <w:rPr>
          <w:bCs/>
        </w:rPr>
        <w:t>li</w:t>
      </w:r>
      <w:r w:rsidR="00860A62" w:rsidRPr="00C030F8">
        <w:rPr>
          <w:bCs/>
        </w:rPr>
        <w:t xml:space="preserve"> pingereas järgmisest paku</w:t>
      </w:r>
      <w:r w:rsidR="00E40FEF" w:rsidRPr="00C030F8">
        <w:rPr>
          <w:bCs/>
        </w:rPr>
        <w:t xml:space="preserve">tud teenustasust </w:t>
      </w:r>
      <w:r w:rsidR="002E6074" w:rsidRPr="00C030F8">
        <w:rPr>
          <w:bCs/>
        </w:rPr>
        <w:t>8%</w:t>
      </w:r>
      <w:r w:rsidR="00AD0638" w:rsidRPr="00C030F8">
        <w:rPr>
          <w:bCs/>
        </w:rPr>
        <w:t>,</w:t>
      </w:r>
      <w:r w:rsidR="002E6074" w:rsidRPr="00C030F8">
        <w:rPr>
          <w:bCs/>
        </w:rPr>
        <w:t xml:space="preserve"> </w:t>
      </w:r>
      <w:r w:rsidR="00AD0638" w:rsidRPr="00C030F8">
        <w:rPr>
          <w:bCs/>
        </w:rPr>
        <w:t xml:space="preserve">koguni </w:t>
      </w:r>
      <w:r w:rsidR="0052107E" w:rsidRPr="00C030F8">
        <w:rPr>
          <w:bCs/>
        </w:rPr>
        <w:t>52% võrra väiksem.</w:t>
      </w:r>
      <w:r w:rsidR="005E3C7A" w:rsidRPr="00C030F8">
        <w:rPr>
          <w:bCs/>
        </w:rPr>
        <w:t xml:space="preserve"> Seetõttu tekkis hankijal alapakku</w:t>
      </w:r>
      <w:r w:rsidR="000F7610" w:rsidRPr="00C030F8">
        <w:rPr>
          <w:bCs/>
        </w:rPr>
        <w:t xml:space="preserve">mise kahtlus ning ta esitas </w:t>
      </w:r>
      <w:r w:rsidR="0045005E" w:rsidRPr="00C030F8">
        <w:rPr>
          <w:bCs/>
        </w:rPr>
        <w:t>pakkujale päringu RHS § 115 lg 1 alusel.</w:t>
      </w:r>
    </w:p>
    <w:p w14:paraId="147C62FA" w14:textId="77777777" w:rsidR="008C023E" w:rsidRPr="00C030F8" w:rsidRDefault="00BD6B5A" w:rsidP="008C023E">
      <w:pPr>
        <w:pStyle w:val="Loendilik"/>
        <w:numPr>
          <w:ilvl w:val="1"/>
          <w:numId w:val="1"/>
        </w:numPr>
        <w:spacing w:after="120" w:line="240" w:lineRule="auto"/>
        <w:ind w:left="567" w:hanging="567"/>
        <w:contextualSpacing w:val="0"/>
        <w:rPr>
          <w:bCs/>
        </w:rPr>
      </w:pPr>
      <w:r w:rsidRPr="00C030F8">
        <w:rPr>
          <w:bCs/>
        </w:rPr>
        <w:t xml:space="preserve">Pakkuja </w:t>
      </w:r>
      <w:r w:rsidR="00B540EC" w:rsidRPr="00C030F8">
        <w:rPr>
          <w:bCs/>
        </w:rPr>
        <w:t xml:space="preserve">vastusest selgus, et </w:t>
      </w:r>
      <w:r w:rsidR="009B7E2E" w:rsidRPr="00C030F8">
        <w:rPr>
          <w:bCs/>
        </w:rPr>
        <w:t>Reisieksperdi AS sai niivõrd soodsa pakkumuse esitada muuhul</w:t>
      </w:r>
      <w:r w:rsidR="00941CA8" w:rsidRPr="00C030F8">
        <w:rPr>
          <w:bCs/>
        </w:rPr>
        <w:t xml:space="preserve">gas </w:t>
      </w:r>
      <w:r w:rsidR="00507D5F" w:rsidRPr="00C030F8">
        <w:rPr>
          <w:bCs/>
        </w:rPr>
        <w:t xml:space="preserve">tänu teenuse subsideerimisele hankelepingu välistest </w:t>
      </w:r>
      <w:r w:rsidR="00AF4051" w:rsidRPr="00C030F8">
        <w:rPr>
          <w:bCs/>
        </w:rPr>
        <w:t>allikatest, mis oli aga hanke alusdokumentide</w:t>
      </w:r>
      <w:r w:rsidR="0031284E" w:rsidRPr="00C030F8">
        <w:rPr>
          <w:bCs/>
        </w:rPr>
        <w:t xml:space="preserve"> kohaselt</w:t>
      </w:r>
      <w:r w:rsidR="00134FD9" w:rsidRPr="00C030F8">
        <w:rPr>
          <w:bCs/>
        </w:rPr>
        <w:t xml:space="preserve"> keelatud.</w:t>
      </w:r>
    </w:p>
    <w:p w14:paraId="17C8D4C3" w14:textId="5F33B930" w:rsidR="008C023E" w:rsidRPr="00C030F8" w:rsidRDefault="008C023E" w:rsidP="008C023E">
      <w:pPr>
        <w:pStyle w:val="Loendilik"/>
        <w:numPr>
          <w:ilvl w:val="1"/>
          <w:numId w:val="1"/>
        </w:numPr>
        <w:spacing w:after="120" w:line="240" w:lineRule="auto"/>
        <w:ind w:left="567" w:hanging="567"/>
        <w:contextualSpacing w:val="0"/>
        <w:rPr>
          <w:bCs/>
        </w:rPr>
      </w:pPr>
      <w:r w:rsidRPr="00C030F8">
        <w:t xml:space="preserve">Vastav </w:t>
      </w:r>
      <w:r w:rsidR="00E74260" w:rsidRPr="00C030F8">
        <w:t>keeld</w:t>
      </w:r>
      <w:r w:rsidRPr="00C030F8">
        <w:t xml:space="preserve"> on sätestatud hanke alusandmete alajaotuses „Pakkumuse vastavustingimused“ punktis 7 „Pakkumuse maksumus“ järgmises sõnastuses „</w:t>
      </w:r>
      <w:r w:rsidRPr="00C030F8">
        <w:rPr>
          <w:i/>
          <w:iCs/>
          <w:lang w:bidi="ar-SA"/>
        </w:rPr>
        <w:t xml:space="preserve">Pakkujal ei ole pakkumuse esitamisel lubatud esitatavaid maksumusi hankeväliselt </w:t>
      </w:r>
      <w:proofErr w:type="spellStart"/>
      <w:r w:rsidRPr="00C030F8">
        <w:rPr>
          <w:i/>
          <w:iCs/>
          <w:lang w:bidi="ar-SA"/>
        </w:rPr>
        <w:t>ristsubsideerida</w:t>
      </w:r>
      <w:proofErr w:type="spellEnd"/>
      <w:r w:rsidRPr="00C030F8">
        <w:rPr>
          <w:i/>
          <w:iCs/>
          <w:lang w:bidi="ar-SA"/>
        </w:rPr>
        <w:t>. Pakkumus, milles on kasutatud maksumuse esitamisel ristsubsideerimist, lükatakse tagasi.</w:t>
      </w:r>
      <w:r w:rsidRPr="00C030F8">
        <w:t xml:space="preserve">“ </w:t>
      </w:r>
      <w:r w:rsidR="00E74260" w:rsidRPr="00C030F8">
        <w:t>Ristsubsideerimise keeld</w:t>
      </w:r>
      <w:r w:rsidRPr="00C030F8">
        <w:t xml:space="preserve"> on samas sõnastuses esitatud ka alajaotuse „Hindamiskriteeriumid ja hinnatavad näitajad“ juures.</w:t>
      </w:r>
    </w:p>
    <w:p w14:paraId="09E7C1BD" w14:textId="14AD0F99" w:rsidR="00AA3520" w:rsidRPr="00C030F8" w:rsidRDefault="009F7304" w:rsidP="0047041E">
      <w:pPr>
        <w:pStyle w:val="Loendilik"/>
        <w:numPr>
          <w:ilvl w:val="1"/>
          <w:numId w:val="1"/>
        </w:numPr>
        <w:spacing w:after="120" w:line="240" w:lineRule="auto"/>
        <w:ind w:left="567" w:hanging="567"/>
        <w:contextualSpacing w:val="0"/>
        <w:rPr>
          <w:bCs/>
        </w:rPr>
      </w:pPr>
      <w:r w:rsidRPr="00C030F8">
        <w:rPr>
          <w:bCs/>
        </w:rPr>
        <w:t xml:space="preserve">21.05.2026 </w:t>
      </w:r>
      <w:r w:rsidR="0031284E" w:rsidRPr="00C030F8">
        <w:rPr>
          <w:bCs/>
        </w:rPr>
        <w:t>o</w:t>
      </w:r>
      <w:r w:rsidR="000D7C13" w:rsidRPr="00C030F8">
        <w:rPr>
          <w:bCs/>
        </w:rPr>
        <w:t>tsusega lükati Reisieksperdi AS pakkumus</w:t>
      </w:r>
      <w:r w:rsidR="0031284E" w:rsidRPr="00C030F8">
        <w:rPr>
          <w:bCs/>
        </w:rPr>
        <w:t xml:space="preserve"> tagasi. </w:t>
      </w:r>
    </w:p>
    <w:p w14:paraId="39670F84" w14:textId="76FCFE41" w:rsidR="0047041E" w:rsidRPr="00C030F8" w:rsidRDefault="0006636A" w:rsidP="0047041E">
      <w:pPr>
        <w:pStyle w:val="Loendilik"/>
        <w:numPr>
          <w:ilvl w:val="1"/>
          <w:numId w:val="1"/>
        </w:numPr>
        <w:spacing w:after="120" w:line="240" w:lineRule="auto"/>
        <w:ind w:left="567" w:hanging="567"/>
        <w:contextualSpacing w:val="0"/>
        <w:rPr>
          <w:bCs/>
        </w:rPr>
      </w:pPr>
      <w:r w:rsidRPr="00C030F8">
        <w:t xml:space="preserve">Riigihangete vaidlustuskomisjon (VAKO) edastas hankijale </w:t>
      </w:r>
      <w:r w:rsidR="00CA232A" w:rsidRPr="00C030F8">
        <w:t>02</w:t>
      </w:r>
      <w:r w:rsidR="00DE0EF2" w:rsidRPr="00C030F8">
        <w:t>.02.2026</w:t>
      </w:r>
      <w:r w:rsidRPr="00C030F8">
        <w:t xml:space="preserve"> teate vaidlustuse</w:t>
      </w:r>
      <w:r w:rsidR="00B74E62" w:rsidRPr="00C030F8">
        <w:t xml:space="preserve"> laekumisest</w:t>
      </w:r>
      <w:r w:rsidR="003221B3" w:rsidRPr="00C030F8">
        <w:t xml:space="preserve"> kõnealuses riigihankes. </w:t>
      </w:r>
      <w:r w:rsidRPr="00C030F8">
        <w:t xml:space="preserve">VAKO palus hankijal </w:t>
      </w:r>
      <w:r w:rsidRPr="00C030F8">
        <w:rPr>
          <w:color w:val="000000"/>
        </w:rPr>
        <w:t xml:space="preserve">esitada </w:t>
      </w:r>
      <w:r w:rsidRPr="00C030F8">
        <w:t>kirjalik</w:t>
      </w:r>
      <w:r w:rsidR="00EC1EC1" w:rsidRPr="00C030F8">
        <w:t>u</w:t>
      </w:r>
      <w:r w:rsidRPr="00C030F8">
        <w:t xml:space="preserve"> vastus</w:t>
      </w:r>
      <w:r w:rsidR="00EC1EC1" w:rsidRPr="00C030F8">
        <w:t>e</w:t>
      </w:r>
      <w:r w:rsidRPr="00C030F8">
        <w:t xml:space="preserve"> riigihankes esitatud vaidlustuse kohta</w:t>
      </w:r>
      <w:r w:rsidRPr="00C030F8">
        <w:rPr>
          <w:color w:val="000000"/>
        </w:rPr>
        <w:t xml:space="preserve"> hiljemalt 0</w:t>
      </w:r>
      <w:r w:rsidR="003221B3" w:rsidRPr="00C030F8">
        <w:rPr>
          <w:color w:val="000000"/>
        </w:rPr>
        <w:t>5.06</w:t>
      </w:r>
      <w:r w:rsidR="0026068F" w:rsidRPr="00C030F8">
        <w:rPr>
          <w:color w:val="000000"/>
        </w:rPr>
        <w:t>.2026</w:t>
      </w:r>
      <w:r w:rsidRPr="00C030F8">
        <w:t>.</w:t>
      </w:r>
    </w:p>
    <w:p w14:paraId="04A9C883" w14:textId="70B96451" w:rsidR="00EC1EC1" w:rsidRPr="00C030F8" w:rsidRDefault="00EC1EC1" w:rsidP="0047041E">
      <w:pPr>
        <w:pStyle w:val="Loendilik"/>
        <w:numPr>
          <w:ilvl w:val="1"/>
          <w:numId w:val="1"/>
        </w:numPr>
        <w:spacing w:after="120" w:line="240" w:lineRule="auto"/>
        <w:ind w:left="567" w:hanging="567"/>
        <w:contextualSpacing w:val="0"/>
        <w:rPr>
          <w:bCs/>
        </w:rPr>
      </w:pPr>
      <w:r w:rsidRPr="00C030F8">
        <w:t xml:space="preserve">Hankija </w:t>
      </w:r>
      <w:r w:rsidR="00A27CA6" w:rsidRPr="00C030F8">
        <w:t xml:space="preserve">hinnangul on Reisieksperdi AS pakkumuse tagasi lükkamise otsus </w:t>
      </w:r>
      <w:r w:rsidR="00E16C1A" w:rsidRPr="00C030F8">
        <w:t xml:space="preserve">õiguspärane ning </w:t>
      </w:r>
      <w:r w:rsidRPr="00C030F8">
        <w:t>ei nõustu vaidlustuses</w:t>
      </w:r>
      <w:r w:rsidR="0000170D" w:rsidRPr="00C030F8">
        <w:t xml:space="preserve"> esitatud seisukohtadega</w:t>
      </w:r>
      <w:r w:rsidR="00E16C1A" w:rsidRPr="00C030F8">
        <w:t>.</w:t>
      </w:r>
      <w:r w:rsidR="0000170D" w:rsidRPr="00C030F8">
        <w:t xml:space="preserve"> </w:t>
      </w:r>
    </w:p>
    <w:p w14:paraId="0965BF62" w14:textId="4BEFCAF2" w:rsidR="0047041E" w:rsidRPr="00C030F8" w:rsidRDefault="0047041E" w:rsidP="0047041E">
      <w:pPr>
        <w:spacing w:after="120" w:line="240" w:lineRule="auto"/>
        <w:rPr>
          <w:bCs/>
        </w:rPr>
      </w:pPr>
    </w:p>
    <w:p w14:paraId="3E8BB21E" w14:textId="5E163C6D" w:rsidR="00481EBA" w:rsidRPr="00C030F8" w:rsidRDefault="005C76A8" w:rsidP="00481EBA">
      <w:pPr>
        <w:pStyle w:val="Loendilik"/>
        <w:numPr>
          <w:ilvl w:val="0"/>
          <w:numId w:val="1"/>
        </w:numPr>
        <w:spacing w:after="120" w:line="240" w:lineRule="auto"/>
        <w:ind w:left="357" w:hanging="357"/>
        <w:contextualSpacing w:val="0"/>
        <w:jc w:val="left"/>
        <w:rPr>
          <w:b/>
          <w:bCs/>
          <w:color w:val="000000"/>
        </w:rPr>
      </w:pPr>
      <w:r w:rsidRPr="00C030F8">
        <w:rPr>
          <w:b/>
          <w:bCs/>
          <w:color w:val="000000"/>
        </w:rPr>
        <w:t>ÕIGUSLIKUD PÕHJENDUSED</w:t>
      </w:r>
      <w:r w:rsidR="00604107" w:rsidRPr="00C030F8">
        <w:rPr>
          <w:b/>
          <w:bCs/>
          <w:color w:val="000000"/>
        </w:rPr>
        <w:br/>
      </w:r>
      <w:r w:rsidR="00604107" w:rsidRPr="00C030F8">
        <w:rPr>
          <w:b/>
          <w:bCs/>
          <w:color w:val="000000"/>
        </w:rPr>
        <w:br/>
        <w:t xml:space="preserve">Hankija </w:t>
      </w:r>
      <w:r w:rsidR="00EA046E" w:rsidRPr="00C030F8">
        <w:rPr>
          <w:b/>
          <w:bCs/>
          <w:color w:val="000000"/>
        </w:rPr>
        <w:t xml:space="preserve">kontrollis vaidlustaja pakkumust </w:t>
      </w:r>
      <w:r w:rsidR="00AC7EC9" w:rsidRPr="00C030F8">
        <w:rPr>
          <w:b/>
          <w:bCs/>
          <w:color w:val="000000"/>
        </w:rPr>
        <w:t>ristsubsideerimise keelu järg</w:t>
      </w:r>
      <w:r w:rsidR="00C030F8" w:rsidRPr="00C030F8">
        <w:rPr>
          <w:b/>
          <w:bCs/>
          <w:color w:val="000000"/>
        </w:rPr>
        <w:t>i</w:t>
      </w:r>
      <w:r w:rsidR="00AC7EC9" w:rsidRPr="00C030F8">
        <w:rPr>
          <w:b/>
          <w:bCs/>
          <w:color w:val="000000"/>
        </w:rPr>
        <w:t>mise suhtes sisuliselt</w:t>
      </w:r>
    </w:p>
    <w:p w14:paraId="6B0ABCC1" w14:textId="451A4FA5" w:rsidR="00733976" w:rsidRDefault="005564D9" w:rsidP="00D33B42">
      <w:pPr>
        <w:pStyle w:val="Normaallaadveeb"/>
        <w:numPr>
          <w:ilvl w:val="1"/>
          <w:numId w:val="1"/>
        </w:numPr>
        <w:spacing w:before="0" w:beforeAutospacing="0" w:after="120" w:afterAutospacing="0"/>
        <w:ind w:left="567" w:hanging="567"/>
        <w:jc w:val="both"/>
      </w:pPr>
      <w:r w:rsidRPr="00C030F8">
        <w:t>Hankija ei nõustu vaidlustuse punktides 7–14 esitatud väi</w:t>
      </w:r>
      <w:r w:rsidR="00ED4727" w:rsidRPr="00C030F8">
        <w:t xml:space="preserve">detega </w:t>
      </w:r>
      <w:r w:rsidRPr="00C030F8">
        <w:t>hankevälise ristsubsideerimise keelu sisuliselt kontrollimata</w:t>
      </w:r>
      <w:r w:rsidR="00ED4727" w:rsidRPr="00C030F8">
        <w:t xml:space="preserve"> jätmise</w:t>
      </w:r>
      <w:r w:rsidR="001453C8" w:rsidRPr="00C030F8">
        <w:t xml:space="preserve"> kohta</w:t>
      </w:r>
      <w:r w:rsidRPr="00C030F8">
        <w:t xml:space="preserve">. </w:t>
      </w:r>
    </w:p>
    <w:p w14:paraId="2773CADF" w14:textId="77777777" w:rsidR="00D33B42" w:rsidRDefault="00336065" w:rsidP="00D33B42">
      <w:pPr>
        <w:pStyle w:val="Normaallaadveeb"/>
        <w:numPr>
          <w:ilvl w:val="1"/>
          <w:numId w:val="1"/>
        </w:numPr>
        <w:spacing w:before="0" w:beforeAutospacing="0" w:after="120" w:afterAutospacing="0"/>
        <w:ind w:left="567" w:hanging="567"/>
        <w:jc w:val="both"/>
      </w:pPr>
      <w:r w:rsidRPr="00C030F8">
        <w:t>Vaidlustaja esitas teenustasu protsendiks 3,88%. Teiste pakkujate vastavad teenustasu protsendid jäid vahemikku 8–16% ning keskmine oli 10,1%. Selline erinevus andis hankijale põhjendatud aluse küsida vaidlustajalt selgitust pakkumuse madala maksumuse kohta. Hankija ei teinud madala hinna põhjal automaatset negatiivset järeldust, vaid andis vaidlustajale võimaluse selgitada pakkumuse maksumuse kujunemist.</w:t>
      </w:r>
    </w:p>
    <w:p w14:paraId="137AEADC" w14:textId="76043C5F" w:rsidR="002925D2" w:rsidRDefault="002925D2" w:rsidP="00D33B42">
      <w:pPr>
        <w:pStyle w:val="Normaallaadveeb"/>
        <w:numPr>
          <w:ilvl w:val="1"/>
          <w:numId w:val="1"/>
        </w:numPr>
        <w:spacing w:before="0" w:beforeAutospacing="0" w:after="120" w:afterAutospacing="0"/>
        <w:ind w:left="567" w:hanging="567"/>
        <w:jc w:val="both"/>
      </w:pPr>
      <w:r w:rsidRPr="002925D2">
        <w:t xml:space="preserve">Vaidlustaja vastas hankija päringule ning põhjendas madalat teenustasu protsenti muu hulgas oma ärimudeli, koostööpartneritega sõlmitud kokkulepete ja tulemustasude süsteemiga. </w:t>
      </w:r>
    </w:p>
    <w:p w14:paraId="4056793B" w14:textId="481AC78B" w:rsidR="00AC0160" w:rsidRDefault="00D33B42" w:rsidP="005317BC">
      <w:pPr>
        <w:pStyle w:val="Normaallaadveeb"/>
        <w:numPr>
          <w:ilvl w:val="1"/>
          <w:numId w:val="1"/>
        </w:numPr>
        <w:spacing w:before="0" w:beforeAutospacing="0" w:after="120" w:afterAutospacing="0"/>
        <w:ind w:left="567" w:hanging="567"/>
        <w:jc w:val="both"/>
      </w:pPr>
      <w:r w:rsidRPr="00C030F8">
        <w:t xml:space="preserve">Hankija </w:t>
      </w:r>
      <w:r>
        <w:t xml:space="preserve">kontrollis </w:t>
      </w:r>
      <w:r w:rsidR="00885B19">
        <w:t>Reisieksperdi AS</w:t>
      </w:r>
      <w:r>
        <w:t xml:space="preserve"> vastuse põhjal teenustasu kujunemist ning tegi kindlaks, et erandlikult madalat teenustasu saab pakkuja pakkuda tänu hankevälistele rahastamisallikatele. Pakkumuse kontrollimine ning otsuse tegemise põhjused on kontrollitavad hankija 21.05.2026 tehtud otsuse 2-leheküljelisest lisast. Muuhulgas põhjendas hankija oma otsust järgnevalt: „</w:t>
      </w:r>
      <w:r w:rsidRPr="00733976">
        <w:rPr>
          <w:i/>
          <w:iCs/>
        </w:rPr>
        <w:t>Hankija hinnangul on Reisieksperdi selgituses viidatud "lepingupartnerid omakorda maksavad teenuste vahendamise eest Reisieksperdile tulemustasu" ja "katavad fikseeritud tulemustasud klientidele teenuste vahendamisega seotud kulud"  käsitletav ristsubsideerimisena, mida tõendab ka 6 pakkumuse võrdluses märgatav hinnaerinevus.</w:t>
      </w:r>
      <w:r>
        <w:t>“ Ja „</w:t>
      </w:r>
      <w:r w:rsidRPr="00C92490">
        <w:rPr>
          <w:i/>
          <w:iCs/>
        </w:rPr>
        <w:t xml:space="preserve">Pakkuja selgitustest nähtub hoopiski, </w:t>
      </w:r>
      <w:r w:rsidRPr="00C92490">
        <w:rPr>
          <w:i/>
          <w:iCs/>
        </w:rPr>
        <w:lastRenderedPageBreak/>
        <w:t>et hankijalt küsitav teenustasu iseseisvalt ei kata hankelepingu täitmisega seotud kulusid ning oluline osa kulude katmisest põhineb kolmandatelt isikutelt saadavatel tulemustasudel ja muudel partnerhüvedel.</w:t>
      </w:r>
      <w:r>
        <w:t>“</w:t>
      </w:r>
    </w:p>
    <w:p w14:paraId="703FDECB" w14:textId="41E8C729" w:rsidR="00852EB1" w:rsidRDefault="00336065" w:rsidP="00336065">
      <w:pPr>
        <w:pStyle w:val="Normaallaadveeb"/>
        <w:numPr>
          <w:ilvl w:val="1"/>
          <w:numId w:val="1"/>
        </w:numPr>
        <w:spacing w:before="0" w:beforeAutospacing="0" w:after="120" w:afterAutospacing="0"/>
        <w:ind w:left="567" w:hanging="567"/>
        <w:jc w:val="both"/>
      </w:pPr>
      <w:r w:rsidRPr="00C030F8">
        <w:t>Seega ei põhine hankija otsus oletusel ega pelgalt hinnavõrdlusel</w:t>
      </w:r>
      <w:r w:rsidR="000A043B">
        <w:t>, v</w:t>
      </w:r>
      <w:r w:rsidR="0017646F">
        <w:t>a</w:t>
      </w:r>
      <w:r w:rsidR="000A043B">
        <w:t>id Reisieksperdi AS selgituse</w:t>
      </w:r>
      <w:r w:rsidR="0017646F">
        <w:t>l.</w:t>
      </w:r>
      <w:r w:rsidR="00680842" w:rsidRPr="00680842">
        <w:t xml:space="preserve"> </w:t>
      </w:r>
      <w:r w:rsidR="00CC044F">
        <w:t>H</w:t>
      </w:r>
      <w:r w:rsidR="00093DB2">
        <w:t xml:space="preserve">ankija </w:t>
      </w:r>
      <w:r w:rsidR="00CC044F">
        <w:t xml:space="preserve">ei näinud </w:t>
      </w:r>
      <w:r w:rsidR="00093DB2">
        <w:t xml:space="preserve">vajadust nõuda </w:t>
      </w:r>
      <w:r w:rsidR="00B20CDC">
        <w:t xml:space="preserve">selgituste paikapidavuse kontrollimiseks </w:t>
      </w:r>
      <w:r w:rsidR="00093DB2">
        <w:t xml:space="preserve">Reisieksperdi </w:t>
      </w:r>
      <w:proofErr w:type="spellStart"/>
      <w:r w:rsidR="00093DB2">
        <w:t>AS-lt</w:t>
      </w:r>
      <w:proofErr w:type="spellEnd"/>
      <w:r w:rsidR="00093DB2">
        <w:t xml:space="preserve"> </w:t>
      </w:r>
      <w:r w:rsidR="00A8728B">
        <w:t xml:space="preserve">teenusega seotud </w:t>
      </w:r>
      <w:r w:rsidR="00C3207D">
        <w:t>arv</w:t>
      </w:r>
      <w:r w:rsidR="00A8728B">
        <w:t xml:space="preserve">andmeid </w:t>
      </w:r>
      <w:r w:rsidR="006143C8">
        <w:t>ja partneritega sõlmitud lepinguid</w:t>
      </w:r>
      <w:r w:rsidR="00C3207D">
        <w:t xml:space="preserve">, sest </w:t>
      </w:r>
      <w:r w:rsidR="00A55712">
        <w:t>ei olnud põhjust kahelda Reisieksperdi AS väidetes</w:t>
      </w:r>
      <w:r w:rsidR="0020382F">
        <w:t>.</w:t>
      </w:r>
      <w:r w:rsidR="00A55712">
        <w:t xml:space="preserve"> </w:t>
      </w:r>
    </w:p>
    <w:p w14:paraId="2B7ADD77" w14:textId="77777777" w:rsidR="006E66A9" w:rsidRDefault="00336065" w:rsidP="00DE188A">
      <w:pPr>
        <w:pStyle w:val="Normaallaadveeb"/>
        <w:numPr>
          <w:ilvl w:val="1"/>
          <w:numId w:val="1"/>
        </w:numPr>
        <w:spacing w:before="0" w:beforeAutospacing="0" w:after="120" w:afterAutospacing="0"/>
        <w:ind w:left="567" w:hanging="567"/>
        <w:jc w:val="both"/>
      </w:pPr>
      <w:r w:rsidRPr="00C030F8">
        <w:t>Vaidlustaja väidab, et hankija jättis ristsubsideerimise keelu sisuliselt kontrollimata, kuna hankija päring tehti RHS § 115 lg 1 alusel, mitte RHS § 114 lg 2 alusel. Selle seisukohaga ei saa nõustuda.</w:t>
      </w:r>
    </w:p>
    <w:p w14:paraId="4AB0F741" w14:textId="77777777" w:rsidR="006D2979" w:rsidRDefault="00336065" w:rsidP="00DE188A">
      <w:pPr>
        <w:pStyle w:val="Normaallaadveeb"/>
        <w:numPr>
          <w:ilvl w:val="1"/>
          <w:numId w:val="1"/>
        </w:numPr>
        <w:spacing w:before="0" w:beforeAutospacing="0" w:after="120" w:afterAutospacing="0"/>
        <w:ind w:left="567" w:hanging="567"/>
        <w:jc w:val="both"/>
      </w:pPr>
      <w:r w:rsidRPr="00C030F8">
        <w:t>Oluline on eristada selgituspäringu tegemise alust ja hilisema otsuse alust. Hankija küsis selgitust pakkumuse maksumuse kujunemise kohta, kuna pakkumus</w:t>
      </w:r>
      <w:r w:rsidR="00D50A6D">
        <w:t>e maksumus</w:t>
      </w:r>
      <w:r w:rsidRPr="00C030F8">
        <w:t xml:space="preserve"> oli oluliselt madalam teiste pakkujate </w:t>
      </w:r>
      <w:r w:rsidR="00D50A6D">
        <w:t>hindadest</w:t>
      </w:r>
      <w:r w:rsidRPr="00C030F8">
        <w:t xml:space="preserve">. Vaidlustaja vastusest ilmnes aga </w:t>
      </w:r>
      <w:r w:rsidR="00A62AD8">
        <w:t>ristsubsideerimise keelu rikkumine</w:t>
      </w:r>
      <w:r w:rsidRPr="00C030F8">
        <w:t>, millel oli otsene tähendus pakkumuse vastavuse hindamisel. Hankija ei lükanud pakkumust tagasi põhjendamatult madala maksumuse tõttu, vaid põhjusel, et pakkumus ei vastanud riigihanke alusdokumentides sätestatud</w:t>
      </w:r>
      <w:r w:rsidR="006D2979">
        <w:t xml:space="preserve"> vastavustingimusele</w:t>
      </w:r>
      <w:r w:rsidRPr="00C030F8">
        <w:t>.</w:t>
      </w:r>
      <w:r w:rsidR="006D2979">
        <w:t xml:space="preserve"> Otsus tehti RHS § 114 lg 2 alusel.</w:t>
      </w:r>
    </w:p>
    <w:p w14:paraId="62ABE983" w14:textId="77777777" w:rsidR="00AB2AB4" w:rsidRDefault="00336065" w:rsidP="001E1DE5">
      <w:pPr>
        <w:pStyle w:val="Normaallaadveeb"/>
        <w:numPr>
          <w:ilvl w:val="1"/>
          <w:numId w:val="1"/>
        </w:numPr>
        <w:spacing w:before="0" w:beforeAutospacing="0" w:after="120" w:afterAutospacing="0"/>
        <w:ind w:left="567" w:hanging="567"/>
        <w:jc w:val="both"/>
      </w:pPr>
      <w:r w:rsidRPr="00C030F8">
        <w:t>Hankija ei pidanud esitama vaidlustajale sisuliselt sama küsimust uuesti üksnes teise</w:t>
      </w:r>
      <w:r w:rsidR="00723C1B">
        <w:t>l</w:t>
      </w:r>
      <w:r w:rsidRPr="00C030F8">
        <w:t xml:space="preserve"> õigusliku</w:t>
      </w:r>
      <w:r w:rsidR="00723C1B">
        <w:t>l alusel</w:t>
      </w:r>
      <w:r w:rsidRPr="00C030F8">
        <w:t>. Kui pakkuja oli juba selgitanud, millise ärimudeli ja milliste tuluallikate abil pakutud teenustasu kujunes, puudus hankijal vajadus küsida sama asja uuesti RHS § 114 lg 2 alusel.</w:t>
      </w:r>
    </w:p>
    <w:p w14:paraId="722429E6" w14:textId="7D40C694" w:rsidR="00FC0E41" w:rsidRDefault="00FC0E41" w:rsidP="00336065">
      <w:pPr>
        <w:pStyle w:val="Normaallaadveeb"/>
        <w:numPr>
          <w:ilvl w:val="1"/>
          <w:numId w:val="1"/>
        </w:numPr>
        <w:spacing w:before="0" w:beforeAutospacing="0" w:after="120" w:afterAutospacing="0"/>
        <w:ind w:left="567" w:hanging="567"/>
        <w:jc w:val="both"/>
      </w:pPr>
      <w:r w:rsidRPr="00FC0E41">
        <w:t>Vaidlustaja väide, nagu poleks ta mõistnud, et tema selgitust võidakse hinnata ka ristsubsideerimise keelu kontekstis, ei ole põhjendatud. Isegi kui kogenud hangetes osaleja Reisieksperdi AS ei pannud ristsubsideerimise keeldu vastavustingimusena tähele, oli sama keeld sätestatud ka hindamiskriteeriumide juures. Seetõttu pidi pakkuja mõistma maksumuse selgituste seotust ristsubsideerimise keeluga. Küsimus puudutas otseselt teenustasu protsendi põhjendatust, teenuse osutamise kulusid ja pakkumuse maksumuse kujunemist.</w:t>
      </w:r>
    </w:p>
    <w:p w14:paraId="7082D033" w14:textId="5529C3C5" w:rsidR="003F3893" w:rsidRDefault="00B93B58" w:rsidP="00336065">
      <w:pPr>
        <w:pStyle w:val="Normaallaadveeb"/>
        <w:numPr>
          <w:ilvl w:val="1"/>
          <w:numId w:val="1"/>
        </w:numPr>
        <w:spacing w:before="0" w:beforeAutospacing="0" w:after="120" w:afterAutospacing="0"/>
        <w:ind w:left="567" w:hanging="567"/>
        <w:jc w:val="both"/>
      </w:pPr>
      <w:r w:rsidRPr="00B93B58">
        <w:t>Isegi juhul, kui vaidlustuskomisjon peaks leidma, et hankija oleks pidanud esitama vaidlustajale täiendava selgituspäringu ka RHS § 114 lg 2 alusel, ei tooks see kaasa vaidlustatud otsuse kehtetuks tunnistamist. Riigikohtu halduskolleegium on selgitanud, et õigusi rikkuva ja õigusvastase haldusakti võib menetlusökonoomia põhimõttest tulenevalt jätta tühistamata juhul, kui pärast haldusakti tühistamist tuleks samasisuline akt igal juhul uuesti välja anda</w:t>
      </w:r>
      <w:r w:rsidR="00DB2B7D">
        <w:rPr>
          <w:rStyle w:val="Allmrkuseviide"/>
        </w:rPr>
        <w:footnoteReference w:id="2"/>
      </w:r>
      <w:r w:rsidR="00DB2B7D">
        <w:t>.</w:t>
      </w:r>
    </w:p>
    <w:p w14:paraId="7ADC6545" w14:textId="0521A4BB" w:rsidR="00A5692A" w:rsidRDefault="005F42C2" w:rsidP="00336065">
      <w:pPr>
        <w:pStyle w:val="Normaallaadveeb"/>
        <w:numPr>
          <w:ilvl w:val="1"/>
          <w:numId w:val="1"/>
        </w:numPr>
        <w:spacing w:before="0" w:beforeAutospacing="0" w:after="120" w:afterAutospacing="0"/>
        <w:ind w:left="567" w:hanging="567"/>
        <w:jc w:val="both"/>
      </w:pPr>
      <w:r>
        <w:t xml:space="preserve">Vaidlustaja väitest jääb mulje nagu oleks ta RHS § 114 lg 2 alusel andnud hankijale hoopis teistsuguse vastuse. Ometi on Reisieksperdi AS selgitused jäänud </w:t>
      </w:r>
      <w:r w:rsidR="27B2224D">
        <w:t xml:space="preserve">samaks </w:t>
      </w:r>
      <w:r>
        <w:t>nii pärast 21.05.2026 otsuse tegemist</w:t>
      </w:r>
      <w:r w:rsidR="004949BD">
        <w:rPr>
          <w:rStyle w:val="Allmrkuseviide"/>
        </w:rPr>
        <w:footnoteReference w:id="3"/>
      </w:r>
      <w:r>
        <w:t xml:space="preserve"> kui ka vaidlustusmenetluses. Seega ei oleks päringu tegemine </w:t>
      </w:r>
      <w:r w:rsidR="006338A5">
        <w:t>RHS § 114 lg 2 alusel hankija otsust muutnud.</w:t>
      </w:r>
    </w:p>
    <w:p w14:paraId="5FC2B148" w14:textId="6FFCFEF9" w:rsidR="00E615DC" w:rsidRDefault="00E1514D" w:rsidP="00336065">
      <w:pPr>
        <w:pStyle w:val="Normaallaadveeb"/>
        <w:numPr>
          <w:ilvl w:val="1"/>
          <w:numId w:val="1"/>
        </w:numPr>
        <w:spacing w:before="0" w:beforeAutospacing="0" w:after="120" w:afterAutospacing="0"/>
        <w:ind w:left="567" w:hanging="567"/>
        <w:jc w:val="both"/>
      </w:pPr>
      <w:r>
        <w:t xml:space="preserve">Seega isegi, kui hankija on </w:t>
      </w:r>
      <w:r w:rsidR="00686BB3">
        <w:t>teinud menetluses vea, on see vormiline, mitte sisuline eksimus.</w:t>
      </w:r>
      <w:r w:rsidR="004019BA">
        <w:br/>
      </w:r>
      <w:r w:rsidR="004019BA">
        <w:br/>
      </w:r>
      <w:r w:rsidR="00EA76B7" w:rsidRPr="00EA76B7">
        <w:rPr>
          <w:b/>
          <w:bCs/>
        </w:rPr>
        <w:t>Vaidlustaja pakkumus rikub ristsubsideerimise keeldu</w:t>
      </w:r>
    </w:p>
    <w:p w14:paraId="63FE9776" w14:textId="1C93BE38" w:rsidR="00FF0B3F" w:rsidRDefault="00FF0B3F" w:rsidP="00B202C4">
      <w:pPr>
        <w:pStyle w:val="Normaallaadveeb"/>
        <w:numPr>
          <w:ilvl w:val="1"/>
          <w:numId w:val="1"/>
        </w:numPr>
        <w:spacing w:before="0" w:beforeAutospacing="0" w:after="120" w:afterAutospacing="0"/>
        <w:ind w:left="567" w:hanging="567"/>
        <w:jc w:val="both"/>
      </w:pPr>
      <w:r w:rsidRPr="00FF0B3F">
        <w:lastRenderedPageBreak/>
        <w:t xml:space="preserve">Hankija ei nõustu vaidlustuse punktides 15–26 esitatud väitega vaidlustaja pakkumuse kooskõla kohta hankevälise ristsubsideerimise keeluga. </w:t>
      </w:r>
      <w:r w:rsidR="00406841" w:rsidRPr="00406841">
        <w:t>Vaidlustaja väide põhineb ekslikul eeldusel, nagu muutuksid tulemustasud hankesisese tulu osaks pelgalt seetõttu, et vaidlustaja väidab nende suunamist sama lepingu täitmisesse.</w:t>
      </w:r>
    </w:p>
    <w:p w14:paraId="181C1D60" w14:textId="7342C7F9" w:rsidR="002C1013" w:rsidRDefault="00C11CCC" w:rsidP="00B202C4">
      <w:pPr>
        <w:pStyle w:val="Normaallaadveeb"/>
        <w:numPr>
          <w:ilvl w:val="1"/>
          <w:numId w:val="1"/>
        </w:numPr>
        <w:spacing w:before="0" w:beforeAutospacing="0" w:after="120" w:afterAutospacing="0"/>
        <w:ind w:left="567" w:hanging="567"/>
        <w:jc w:val="both"/>
      </w:pPr>
      <w:r w:rsidRPr="00C11CCC">
        <w:t xml:space="preserve">Asjaolu, et vaidlustaja väidab tulemustasu suunamist sama lepingu täitmisesse, ei muuda tulemustasu hankesiseseks tuluallikaks. </w:t>
      </w:r>
      <w:r w:rsidR="00852691">
        <w:t>Vaidlustaja mängib sõnadega</w:t>
      </w:r>
      <w:r w:rsidR="00706097">
        <w:t xml:space="preserve"> luues ettekujutuse</w:t>
      </w:r>
      <w:r w:rsidR="002C1013">
        <w:t xml:space="preserve"> </w:t>
      </w:r>
      <w:r w:rsidR="00682E96">
        <w:t>vahendatavate teenuste pakkuja</w:t>
      </w:r>
      <w:r w:rsidR="002C1013">
        <w:t>te kuulumisest hankes</w:t>
      </w:r>
      <w:r w:rsidR="00ED2BC8">
        <w:t>se</w:t>
      </w:r>
      <w:r w:rsidR="002C1013">
        <w:t xml:space="preserve">. </w:t>
      </w:r>
    </w:p>
    <w:p w14:paraId="2DC5A9FB" w14:textId="03CD9826" w:rsidR="00B202C4" w:rsidRPr="00B202C4" w:rsidRDefault="00B30AF2" w:rsidP="00B202C4">
      <w:pPr>
        <w:pStyle w:val="Normaallaadveeb"/>
        <w:numPr>
          <w:ilvl w:val="1"/>
          <w:numId w:val="1"/>
        </w:numPr>
        <w:spacing w:before="0" w:beforeAutospacing="0" w:after="120" w:afterAutospacing="0"/>
        <w:ind w:left="567" w:hanging="567"/>
        <w:jc w:val="both"/>
      </w:pPr>
      <w:r>
        <w:t xml:space="preserve">Riigihange on </w:t>
      </w:r>
      <w:r w:rsidR="001D10C1">
        <w:t xml:space="preserve">asja, teenuse või ehitustöö ostmine hankija poolt (RHS § 4 </w:t>
      </w:r>
      <w:r w:rsidR="000C6D0B">
        <w:t xml:space="preserve">p 16). </w:t>
      </w:r>
      <w:r w:rsidR="00C905EA">
        <w:t xml:space="preserve">Hankija sõlmib </w:t>
      </w:r>
      <w:r w:rsidR="005011BB">
        <w:t>asja, teenuse või ehitustöö ostmiseks lepingu ettevõtjaga (RHS § 8</w:t>
      </w:r>
      <w:r w:rsidR="001E28D5">
        <w:t xml:space="preserve"> lg 1). Järelikult </w:t>
      </w:r>
      <w:r w:rsidR="005C6CCA">
        <w:t>suhted ja tuluallikad, mis ei ole reguleeritud hankelepinguga, on hankevälised</w:t>
      </w:r>
      <w:r w:rsidR="00B70431">
        <w:rPr>
          <w:rStyle w:val="Allmrkuseviide"/>
        </w:rPr>
        <w:footnoteReference w:id="4"/>
      </w:r>
      <w:r w:rsidR="005C6CCA">
        <w:t xml:space="preserve">. </w:t>
      </w:r>
      <w:r w:rsidR="00B202C4" w:rsidRPr="00B202C4">
        <w:t>Tulemustasu ei ole hankijalt saadav tasu ega RHAD-</w:t>
      </w:r>
      <w:proofErr w:type="spellStart"/>
      <w:r w:rsidR="00B202C4" w:rsidRPr="00B202C4">
        <w:t>is</w:t>
      </w:r>
      <w:proofErr w:type="spellEnd"/>
      <w:r w:rsidR="00B202C4" w:rsidRPr="00B202C4">
        <w:t xml:space="preserve"> kirjeldatud teenustasu osa. Tegemist on vaidlustaja ja kolmandate isikute vahelisest õigussuhtest tuleneva tuluga. Hankijal puudub nende kolmandate isikutega lepinguline suhe ning hankija ei saa kontrollida, kas tulemustasu makstakse, millises ulatuses seda makstakse, millistel tingimustel see tekib ega kas see mõjutab hankijale vahendatava teenuse lõpphinda.</w:t>
      </w:r>
    </w:p>
    <w:p w14:paraId="547C22D2" w14:textId="77777777" w:rsidR="000667CF" w:rsidRDefault="00C11CCC" w:rsidP="000667CF">
      <w:pPr>
        <w:pStyle w:val="Normaallaadveeb"/>
        <w:numPr>
          <w:ilvl w:val="1"/>
          <w:numId w:val="1"/>
        </w:numPr>
        <w:spacing w:before="0" w:beforeAutospacing="0" w:after="120" w:afterAutospacing="0"/>
        <w:ind w:left="567" w:hanging="567"/>
        <w:jc w:val="both"/>
      </w:pPr>
      <w:r w:rsidRPr="00C11CCC">
        <w:t>Vaidlustaja tõlgendus võimaldaks igal pakkujal tugineda hankevälisele tuluallikale ning väita seejärel, et tegemist ei ole ristsubsideerimisega, kuna tulu kasutatakse hankelepingu täitmisel. Selline tõlgendus muudaks riigihanke alusdokumentides sätestatud ristsubsideerimise keelu sisutühjaks.</w:t>
      </w:r>
    </w:p>
    <w:p w14:paraId="15ED1933" w14:textId="77777777" w:rsidR="00A021C6" w:rsidRDefault="000667CF" w:rsidP="00336065">
      <w:pPr>
        <w:pStyle w:val="Normaallaadveeb"/>
        <w:numPr>
          <w:ilvl w:val="1"/>
          <w:numId w:val="1"/>
        </w:numPr>
        <w:spacing w:before="0" w:beforeAutospacing="0" w:after="120" w:afterAutospacing="0"/>
        <w:ind w:left="567" w:hanging="567"/>
        <w:jc w:val="both"/>
      </w:pPr>
      <w:r w:rsidRPr="000667CF">
        <w:t>Hankija ei nõustu vaidlustuse punktides 16–17 esitatud väitega, et kasumi olemasolu välistab hankevälise ristsubsideerimise.</w:t>
      </w:r>
      <w:r w:rsidR="00B82A9F">
        <w:t xml:space="preserve"> </w:t>
      </w:r>
      <w:r w:rsidR="00D40266" w:rsidRPr="00C030F8">
        <w:t xml:space="preserve">Tegelikult ei ole pakkuja oma vastuses sõnaselgelt väitnud, et pakutud vahendustasu protsent sisaldab kasumit. </w:t>
      </w:r>
      <w:r w:rsidR="00336065" w:rsidRPr="00C030F8">
        <w:t>Ka selle seisukohaga ei saa nõustuda. Ristsubsideerimise hindamisel ei ole määrav üksnes see, kas pakkuja ärimudel tervikuna annab positiivse majandusliku tulemuse. Määrav on see, kas pakkumuse maksumuse madalus saavutatakse hankelepingu enda majandusliku raamistiku või hankelepingu välise tuluallika abil.</w:t>
      </w:r>
    </w:p>
    <w:p w14:paraId="1E4524B7" w14:textId="77777777" w:rsidR="009417F1" w:rsidRDefault="00336065" w:rsidP="00336065">
      <w:pPr>
        <w:pStyle w:val="Normaallaadveeb"/>
        <w:numPr>
          <w:ilvl w:val="1"/>
          <w:numId w:val="1"/>
        </w:numPr>
        <w:spacing w:before="0" w:beforeAutospacing="0" w:after="120" w:afterAutospacing="0"/>
        <w:ind w:left="567" w:hanging="567"/>
        <w:jc w:val="both"/>
      </w:pPr>
      <w:r w:rsidRPr="00C030F8">
        <w:t>Ka kasumlik pakkumus võib rikkuda hankevälise ristsubsideerimise keeldu, kui pakutud maksumuse kujunemisel arvestatakse kolmandatelt isikutelt saadava tuluga. Kasumi olemasolu oleks asjakohane juhul, kui kasum tekiks hankijalt saadava teenustasu ja hankelepingu täitmise kulude vahest. Käesoleval juhul selgitas vaidlustaja aga ise, et tema ärimudel põhineb lisaks klientidelt saadavale vahendustasule ka lepingulistel tulemustasudel ning et tulemustasud katavad klientidele teenuste vahendamisega seotud kulud.</w:t>
      </w:r>
    </w:p>
    <w:p w14:paraId="5BB98B6E" w14:textId="77777777" w:rsidR="000D24C0" w:rsidRDefault="00336065" w:rsidP="00336065">
      <w:pPr>
        <w:pStyle w:val="Normaallaadveeb"/>
        <w:numPr>
          <w:ilvl w:val="1"/>
          <w:numId w:val="1"/>
        </w:numPr>
        <w:spacing w:before="0" w:beforeAutospacing="0" w:after="120" w:afterAutospacing="0"/>
        <w:ind w:left="567" w:hanging="567"/>
        <w:jc w:val="both"/>
      </w:pPr>
      <w:r w:rsidRPr="00C030F8">
        <w:t>Vaidlust</w:t>
      </w:r>
      <w:r w:rsidR="009417F1">
        <w:t>uses esitatud illustreeriv</w:t>
      </w:r>
      <w:r w:rsidRPr="00C030F8">
        <w:t xml:space="preserve"> skeem ei lükka hankija järeldust ümber, vaid kinnitab seda. Vaidlustaja kirjeldatud mudeli järgi maksab kolmas isik Reisieksperdi</w:t>
      </w:r>
      <w:r w:rsidR="000D24C0">
        <w:t xml:space="preserve"> </w:t>
      </w:r>
      <w:proofErr w:type="spellStart"/>
      <w:r w:rsidR="000D24C0">
        <w:t>AS-le</w:t>
      </w:r>
      <w:proofErr w:type="spellEnd"/>
      <w:r w:rsidRPr="00C030F8">
        <w:t xml:space="preserve"> tulemustasu ning Reisiekspert väidab, et kasutab seda hankijale madalama teenustasu pakkumiseks. Sellisel juhul ei kujune hankijale pakutav teenustasu üksnes hankija ja pakkuja vahelise hankelepingu raames, vaid tugineb kolmandalt isikult saadavale tulule. </w:t>
      </w:r>
    </w:p>
    <w:p w14:paraId="3058F6BE" w14:textId="77777777" w:rsidR="00AA5CB0" w:rsidRDefault="00336065" w:rsidP="00336065">
      <w:pPr>
        <w:pStyle w:val="Normaallaadveeb"/>
        <w:numPr>
          <w:ilvl w:val="1"/>
          <w:numId w:val="1"/>
        </w:numPr>
        <w:spacing w:before="0" w:beforeAutospacing="0" w:after="120" w:afterAutospacing="0"/>
        <w:ind w:left="567" w:hanging="567"/>
        <w:jc w:val="both"/>
      </w:pPr>
      <w:r w:rsidRPr="00C030F8">
        <w:t xml:space="preserve">Hankija kehtestas ristsubsideerimise keelu selleks, et tagada pakkumuste läbipaistvus, võrreldavus ja </w:t>
      </w:r>
      <w:proofErr w:type="spellStart"/>
      <w:r w:rsidRPr="00C030F8">
        <w:t>kontrollitavus</w:t>
      </w:r>
      <w:proofErr w:type="spellEnd"/>
      <w:r w:rsidRPr="00C030F8">
        <w:t>. Kui pakkujal lubataks vähendada hankijalt küsitavat teenustasu kolmandatelt isikutelt saadava tulemustasu arvelt, ei oleks hankijal võimalik kontrollida teenuse tegelikku maksumust. Samuti ei oleks pakkumused võrreldavad, sest osa pakkujaid peaks kajastama kõik kulud teenustasus, samas kui teine pakkuja saaks neid katta kolmandatelt isikutelt saadavate hüvede arvelt.</w:t>
      </w:r>
    </w:p>
    <w:p w14:paraId="3E175BF2" w14:textId="77777777" w:rsidR="009B247B" w:rsidRDefault="00336065" w:rsidP="00336065">
      <w:pPr>
        <w:pStyle w:val="Normaallaadveeb"/>
        <w:numPr>
          <w:ilvl w:val="1"/>
          <w:numId w:val="1"/>
        </w:numPr>
        <w:spacing w:before="0" w:beforeAutospacing="0" w:after="120" w:afterAutospacing="0"/>
        <w:ind w:left="567" w:hanging="567"/>
        <w:jc w:val="both"/>
      </w:pPr>
      <w:r w:rsidRPr="00C030F8">
        <w:lastRenderedPageBreak/>
        <w:t>Selline hinnastamismudel kahjustab ausat konkurentsi. Pakkujad, kellel puuduvad samaväärsed partnerkokkulepped või kes lähtusid RHAD-</w:t>
      </w:r>
      <w:proofErr w:type="spellStart"/>
      <w:r w:rsidRPr="00C030F8">
        <w:t>is</w:t>
      </w:r>
      <w:proofErr w:type="spellEnd"/>
      <w:r w:rsidRPr="00C030F8">
        <w:t xml:space="preserve"> sätestatud keelust, pidid kujundama oma teenustasu nii, et see sisaldaks kõiki teenuse osutamisega seotud kulusid. Vaidlustaja mudel annaks eelise ettevõtjale, kelle pakkumuse </w:t>
      </w:r>
      <w:r w:rsidR="00B31FC5">
        <w:t>hind</w:t>
      </w:r>
      <w:r w:rsidRPr="00C030F8">
        <w:t xml:space="preserve"> põhineb hankelepingu välisel tulul.</w:t>
      </w:r>
    </w:p>
    <w:p w14:paraId="32D9775F" w14:textId="4F991069" w:rsidR="00336065" w:rsidRPr="00C030F8" w:rsidRDefault="00336065" w:rsidP="00336065">
      <w:pPr>
        <w:pStyle w:val="Normaallaadveeb"/>
        <w:numPr>
          <w:ilvl w:val="1"/>
          <w:numId w:val="1"/>
        </w:numPr>
        <w:spacing w:before="0" w:beforeAutospacing="0" w:after="120" w:afterAutospacing="0"/>
        <w:ind w:left="567" w:hanging="567"/>
        <w:jc w:val="both"/>
      </w:pPr>
      <w:r w:rsidRPr="00C030F8">
        <w:t>Eeltoodust tulenevalt leidis hankija õiguspäraselt, et vaidlustaja pakkumus ei vasta riigihanke alusdokumentides sätestatud hankevälise ristsubsideerimise keelule. RHS § 114 lg 2 kohaselt lükkab hankija pakkumuse tagasi, kui see ei vasta riigihanke alusdokumentides esitatud tingimustele. Hankijal puudus kaalutlusruum jätta mittevastav pakkumus tagasi lükkamata.</w:t>
      </w:r>
    </w:p>
    <w:p w14:paraId="23FBD23C" w14:textId="77777777" w:rsidR="00600BF6" w:rsidRPr="00C030F8" w:rsidRDefault="00600BF6" w:rsidP="005956C1">
      <w:pPr>
        <w:pStyle w:val="Loendilik"/>
        <w:spacing w:after="120" w:line="240" w:lineRule="auto"/>
        <w:ind w:left="1080"/>
        <w:rPr>
          <w:bCs/>
        </w:rPr>
      </w:pPr>
    </w:p>
    <w:p w14:paraId="3AD3C3C4" w14:textId="6B2DC3F4" w:rsidR="0006636A" w:rsidRPr="00C030F8" w:rsidRDefault="0006636A" w:rsidP="005956C1">
      <w:pPr>
        <w:pStyle w:val="Loendilik"/>
        <w:spacing w:after="120" w:line="240" w:lineRule="auto"/>
        <w:ind w:left="567"/>
        <w:rPr>
          <w:bCs/>
        </w:rPr>
      </w:pPr>
    </w:p>
    <w:p w14:paraId="27484322" w14:textId="77777777" w:rsidR="0006636A" w:rsidRPr="00C030F8" w:rsidRDefault="0006636A" w:rsidP="0006636A">
      <w:pPr>
        <w:spacing w:after="120" w:line="240" w:lineRule="auto"/>
        <w:rPr>
          <w:bCs/>
        </w:rPr>
      </w:pPr>
    </w:p>
    <w:p w14:paraId="1A44460C" w14:textId="77777777" w:rsidR="0006636A" w:rsidRPr="00C030F8" w:rsidRDefault="0006636A" w:rsidP="0006636A">
      <w:pPr>
        <w:spacing w:after="120" w:line="240" w:lineRule="auto"/>
        <w:rPr>
          <w:bCs/>
        </w:rPr>
      </w:pPr>
      <w:r w:rsidRPr="00C030F8">
        <w:rPr>
          <w:bCs/>
        </w:rPr>
        <w:t>Lugupidamisega</w:t>
      </w:r>
    </w:p>
    <w:p w14:paraId="483FF3E7" w14:textId="77777777" w:rsidR="0006636A" w:rsidRPr="00C030F8" w:rsidRDefault="0006636A" w:rsidP="0006636A">
      <w:pPr>
        <w:spacing w:after="120" w:line="240" w:lineRule="auto"/>
        <w:rPr>
          <w:bCs/>
        </w:rPr>
      </w:pPr>
    </w:p>
    <w:p w14:paraId="587CD1F0" w14:textId="77777777" w:rsidR="0006636A" w:rsidRPr="00C030F8" w:rsidRDefault="0006636A" w:rsidP="0006636A">
      <w:pPr>
        <w:spacing w:after="120" w:line="240" w:lineRule="auto"/>
        <w:rPr>
          <w:bCs/>
        </w:rPr>
      </w:pPr>
      <w:r w:rsidRPr="00C030F8">
        <w:rPr>
          <w:bCs/>
        </w:rPr>
        <w:t>(allkirjastatud digitaalselt)</w:t>
      </w:r>
    </w:p>
    <w:p w14:paraId="478EC90A" w14:textId="2E533EEC" w:rsidR="0006636A" w:rsidRPr="00C030F8" w:rsidRDefault="0006636A" w:rsidP="00170DA2">
      <w:pPr>
        <w:spacing w:line="240" w:lineRule="auto"/>
        <w:rPr>
          <w:bCs/>
        </w:rPr>
      </w:pPr>
      <w:r w:rsidRPr="00C030F8">
        <w:rPr>
          <w:bCs/>
        </w:rPr>
        <w:t>M</w:t>
      </w:r>
      <w:r w:rsidR="006F6F0C" w:rsidRPr="00C030F8">
        <w:rPr>
          <w:bCs/>
        </w:rPr>
        <w:t>adina Talu</w:t>
      </w:r>
    </w:p>
    <w:p w14:paraId="4BC37134" w14:textId="77777777" w:rsidR="0006636A" w:rsidRDefault="0006636A" w:rsidP="00170DA2">
      <w:pPr>
        <w:spacing w:line="240" w:lineRule="auto"/>
        <w:rPr>
          <w:bCs/>
        </w:rPr>
      </w:pPr>
      <w:r w:rsidRPr="00C030F8">
        <w:rPr>
          <w:bCs/>
        </w:rPr>
        <w:t>Riigihangete talituse juhataja</w:t>
      </w:r>
    </w:p>
    <w:p w14:paraId="003DFDB0" w14:textId="77777777" w:rsidR="004949BD" w:rsidRDefault="004949BD" w:rsidP="00170DA2">
      <w:pPr>
        <w:spacing w:line="240" w:lineRule="auto"/>
        <w:rPr>
          <w:bCs/>
        </w:rPr>
      </w:pPr>
    </w:p>
    <w:p w14:paraId="7C92604F" w14:textId="77777777" w:rsidR="004949BD" w:rsidRPr="00C030F8" w:rsidRDefault="004949BD" w:rsidP="00170DA2">
      <w:pPr>
        <w:spacing w:line="240" w:lineRule="auto"/>
        <w:rPr>
          <w:bCs/>
        </w:rPr>
      </w:pPr>
    </w:p>
    <w:p w14:paraId="0B4A8031" w14:textId="77777777" w:rsidR="0006636A" w:rsidRDefault="0006636A"/>
    <w:sectPr w:rsidR="00066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40EF" w14:textId="77777777" w:rsidR="00913871" w:rsidRPr="00C030F8" w:rsidRDefault="00913871" w:rsidP="0006636A">
      <w:pPr>
        <w:spacing w:line="240" w:lineRule="auto"/>
      </w:pPr>
      <w:r w:rsidRPr="00C030F8">
        <w:separator/>
      </w:r>
    </w:p>
  </w:endnote>
  <w:endnote w:type="continuationSeparator" w:id="0">
    <w:p w14:paraId="3574E9C5" w14:textId="77777777" w:rsidR="00913871" w:rsidRPr="00C030F8" w:rsidRDefault="00913871" w:rsidP="0006636A">
      <w:pPr>
        <w:spacing w:line="240" w:lineRule="auto"/>
      </w:pPr>
      <w:r w:rsidRPr="00C030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0891" w14:textId="77777777" w:rsidR="00913871" w:rsidRPr="00C030F8" w:rsidRDefault="00913871" w:rsidP="0006636A">
      <w:pPr>
        <w:spacing w:line="240" w:lineRule="auto"/>
      </w:pPr>
      <w:r w:rsidRPr="00C030F8">
        <w:separator/>
      </w:r>
    </w:p>
  </w:footnote>
  <w:footnote w:type="continuationSeparator" w:id="0">
    <w:p w14:paraId="3FAD7C73" w14:textId="77777777" w:rsidR="00913871" w:rsidRPr="00C030F8" w:rsidRDefault="00913871" w:rsidP="0006636A">
      <w:pPr>
        <w:spacing w:line="240" w:lineRule="auto"/>
      </w:pPr>
      <w:r w:rsidRPr="00C030F8">
        <w:continuationSeparator/>
      </w:r>
    </w:p>
  </w:footnote>
  <w:footnote w:id="1">
    <w:p w14:paraId="0C34139E" w14:textId="35747EFF" w:rsidR="0006636A" w:rsidRPr="00ED21B0" w:rsidRDefault="0006636A" w:rsidP="0006636A">
      <w:pPr>
        <w:pStyle w:val="Default"/>
        <w:jc w:val="both"/>
        <w:rPr>
          <w:rFonts w:ascii="Times New Roman" w:hAnsi="Times New Roman" w:cs="Times New Roman"/>
          <w:sz w:val="20"/>
          <w:szCs w:val="20"/>
        </w:rPr>
      </w:pPr>
      <w:r w:rsidRPr="00C030F8">
        <w:rPr>
          <w:rStyle w:val="Allmrkuseviide"/>
          <w:rFonts w:ascii="Times New Roman" w:eastAsiaTheme="majorEastAsia" w:hAnsi="Times New Roman"/>
          <w:sz w:val="20"/>
          <w:szCs w:val="20"/>
        </w:rPr>
        <w:footnoteRef/>
      </w:r>
      <w:r w:rsidRPr="00C030F8">
        <w:rPr>
          <w:rFonts w:ascii="Times New Roman" w:hAnsi="Times New Roman" w:cs="Times New Roman"/>
          <w:sz w:val="20"/>
          <w:szCs w:val="20"/>
        </w:rPr>
        <w:t xml:space="preserve"> </w:t>
      </w:r>
      <w:r w:rsidRPr="00C030F8">
        <w:rPr>
          <w:rFonts w:ascii="Times New Roman" w:hAnsi="Times New Roman" w:cs="Times New Roman"/>
          <w:bCs/>
          <w:sz w:val="20"/>
          <w:szCs w:val="20"/>
        </w:rPr>
        <w:t xml:space="preserve">Esindusõiguse aluseks on Riigi Tugiteenuste Keskuse peadirektori 30.03.2023 käskkirjaga nr 1-2/23/22  kinnitatud </w:t>
      </w:r>
      <w:hyperlink r:id="rId1" w:history="1">
        <w:r w:rsidRPr="00C030F8">
          <w:rPr>
            <w:rStyle w:val="Hperlink"/>
            <w:rFonts w:ascii="Times New Roman" w:hAnsi="Times New Roman"/>
            <w:bCs/>
            <w:sz w:val="20"/>
            <w:szCs w:val="20"/>
          </w:rPr>
          <w:t>Riigi Tugiteenuste Keskuse riigihangete korraldamise ja lepingute sõlmimise korra punkt 4.6.1</w:t>
        </w:r>
      </w:hyperlink>
      <w:r w:rsidRPr="00C030F8">
        <w:rPr>
          <w:rFonts w:ascii="Times New Roman" w:hAnsi="Times New Roman" w:cs="Times New Roman"/>
          <w:bCs/>
          <w:sz w:val="20"/>
          <w:szCs w:val="20"/>
        </w:rPr>
        <w:t>.</w:t>
      </w:r>
    </w:p>
  </w:footnote>
  <w:footnote w:id="2">
    <w:p w14:paraId="29D364FD" w14:textId="2177D21A" w:rsidR="00DB2B7D" w:rsidRDefault="00DB2B7D">
      <w:pPr>
        <w:pStyle w:val="Allmrkusetekst"/>
      </w:pPr>
      <w:r>
        <w:rPr>
          <w:rStyle w:val="Allmrkuseviide"/>
        </w:rPr>
        <w:footnoteRef/>
      </w:r>
      <w:r>
        <w:t xml:space="preserve"> </w:t>
      </w:r>
      <w:proofErr w:type="spellStart"/>
      <w:r w:rsidRPr="00DB2B7D">
        <w:t>RKHKo</w:t>
      </w:r>
      <w:proofErr w:type="spellEnd"/>
      <w:r w:rsidRPr="00DB2B7D">
        <w:t xml:space="preserve"> 14.05.2002, 3-3-1-25-02, p 24</w:t>
      </w:r>
      <w:r>
        <w:t xml:space="preserve">; </w:t>
      </w:r>
      <w:r w:rsidRPr="00DB2B7D">
        <w:t>VAKO 28.09.2012 otsus nr 162-12/134163, p 14</w:t>
      </w:r>
      <w:r w:rsidR="0036063A">
        <w:t>;</w:t>
      </w:r>
    </w:p>
  </w:footnote>
  <w:footnote w:id="3">
    <w:p w14:paraId="1FBB90A4" w14:textId="4AA8ACA9" w:rsidR="004949BD" w:rsidRDefault="004949BD">
      <w:pPr>
        <w:pStyle w:val="Allmrkusetekst"/>
      </w:pPr>
      <w:r>
        <w:rPr>
          <w:rStyle w:val="Allmrkuseviide"/>
        </w:rPr>
        <w:footnoteRef/>
      </w:r>
      <w:r>
        <w:t xml:space="preserve"> </w:t>
      </w:r>
      <w:r w:rsidR="00605D3A">
        <w:t xml:space="preserve">Vaidlustaja 22.05.2026 ja 27.05.2026 teated </w:t>
      </w:r>
      <w:r w:rsidR="005E4D3C">
        <w:t xml:space="preserve">hankijale. Kättesaadavad </w:t>
      </w:r>
      <w:r w:rsidR="00605D3A">
        <w:t>riigihangete registri</w:t>
      </w:r>
      <w:r w:rsidR="005E4D3C">
        <w:t xml:space="preserve"> riigihanke viitenumbriga </w:t>
      </w:r>
      <w:r w:rsidR="005E4D3C" w:rsidRPr="005E4D3C">
        <w:t>303358</w:t>
      </w:r>
      <w:r w:rsidR="005E4D3C">
        <w:t xml:space="preserve"> teabevahetuse alt.</w:t>
      </w:r>
    </w:p>
  </w:footnote>
  <w:footnote w:id="4">
    <w:p w14:paraId="01529C63" w14:textId="005FCD93" w:rsidR="00B70431" w:rsidRDefault="00B70431">
      <w:pPr>
        <w:pStyle w:val="Allmrkusetekst"/>
      </w:pPr>
      <w:r>
        <w:rPr>
          <w:rStyle w:val="Allmrkuseviide"/>
        </w:rPr>
        <w:footnoteRef/>
      </w:r>
      <w:r>
        <w:t xml:space="preserve"> </w:t>
      </w:r>
      <w:r w:rsidR="005B5211">
        <w:t>VAKO 5-26/289938, p 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52"/>
    <w:multiLevelType w:val="multilevel"/>
    <w:tmpl w:val="780E418A"/>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 w15:restartNumberingAfterBreak="0">
    <w:nsid w:val="046F340C"/>
    <w:multiLevelType w:val="hybridMultilevel"/>
    <w:tmpl w:val="A8E4AE14"/>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73D02CA"/>
    <w:multiLevelType w:val="hybridMultilevel"/>
    <w:tmpl w:val="0B18EA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C917B4C"/>
    <w:multiLevelType w:val="hybridMultilevel"/>
    <w:tmpl w:val="7284993E"/>
    <w:lvl w:ilvl="0" w:tplc="65060D5A">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CCC4071"/>
    <w:multiLevelType w:val="multilevel"/>
    <w:tmpl w:val="ACDE6C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color w:val="000000" w:themeColor="text1"/>
        <w:sz w:val="24"/>
        <w:szCs w:val="24"/>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3AB34D8"/>
    <w:multiLevelType w:val="hybridMultilevel"/>
    <w:tmpl w:val="274C03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66026720">
    <w:abstractNumId w:val="4"/>
  </w:num>
  <w:num w:numId="2" w16cid:durableId="215708256">
    <w:abstractNumId w:val="1"/>
  </w:num>
  <w:num w:numId="3" w16cid:durableId="1923099116">
    <w:abstractNumId w:val="0"/>
  </w:num>
  <w:num w:numId="4" w16cid:durableId="486895665">
    <w:abstractNumId w:val="3"/>
  </w:num>
  <w:num w:numId="5" w16cid:durableId="45956797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6370899">
    <w:abstractNumId w:val="2"/>
  </w:num>
  <w:num w:numId="7" w16cid:durableId="579142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6A"/>
    <w:rsid w:val="0000170D"/>
    <w:rsid w:val="000110D3"/>
    <w:rsid w:val="0001462D"/>
    <w:rsid w:val="00024B47"/>
    <w:rsid w:val="00025644"/>
    <w:rsid w:val="00030CBE"/>
    <w:rsid w:val="00034ED2"/>
    <w:rsid w:val="000406DF"/>
    <w:rsid w:val="00040EE1"/>
    <w:rsid w:val="00042EC5"/>
    <w:rsid w:val="000460B1"/>
    <w:rsid w:val="00057889"/>
    <w:rsid w:val="00064059"/>
    <w:rsid w:val="00064064"/>
    <w:rsid w:val="0006636A"/>
    <w:rsid w:val="000667CF"/>
    <w:rsid w:val="00073513"/>
    <w:rsid w:val="000741DA"/>
    <w:rsid w:val="0007758C"/>
    <w:rsid w:val="000817F3"/>
    <w:rsid w:val="00084EE4"/>
    <w:rsid w:val="0009238D"/>
    <w:rsid w:val="000933D0"/>
    <w:rsid w:val="00093DB2"/>
    <w:rsid w:val="000A043B"/>
    <w:rsid w:val="000A0D72"/>
    <w:rsid w:val="000A1C98"/>
    <w:rsid w:val="000B4209"/>
    <w:rsid w:val="000B6BD0"/>
    <w:rsid w:val="000C01A3"/>
    <w:rsid w:val="000C417B"/>
    <w:rsid w:val="000C4EED"/>
    <w:rsid w:val="000C6803"/>
    <w:rsid w:val="000C6D0B"/>
    <w:rsid w:val="000D09A5"/>
    <w:rsid w:val="000D2021"/>
    <w:rsid w:val="000D24C0"/>
    <w:rsid w:val="000D7C13"/>
    <w:rsid w:val="000E4971"/>
    <w:rsid w:val="000E4BFD"/>
    <w:rsid w:val="000E526E"/>
    <w:rsid w:val="000F143B"/>
    <w:rsid w:val="000F7610"/>
    <w:rsid w:val="000F77CE"/>
    <w:rsid w:val="00121462"/>
    <w:rsid w:val="001310D1"/>
    <w:rsid w:val="0013114F"/>
    <w:rsid w:val="00134FD9"/>
    <w:rsid w:val="00140E1C"/>
    <w:rsid w:val="001417E8"/>
    <w:rsid w:val="00142B7D"/>
    <w:rsid w:val="00142DFF"/>
    <w:rsid w:val="001439DD"/>
    <w:rsid w:val="0014461F"/>
    <w:rsid w:val="001453C8"/>
    <w:rsid w:val="00146C42"/>
    <w:rsid w:val="00147D28"/>
    <w:rsid w:val="001554E1"/>
    <w:rsid w:val="00163E92"/>
    <w:rsid w:val="00170DA2"/>
    <w:rsid w:val="00174A03"/>
    <w:rsid w:val="0017646F"/>
    <w:rsid w:val="00183F9D"/>
    <w:rsid w:val="001A019F"/>
    <w:rsid w:val="001A7697"/>
    <w:rsid w:val="001B0C3C"/>
    <w:rsid w:val="001C389A"/>
    <w:rsid w:val="001C52FC"/>
    <w:rsid w:val="001C6F00"/>
    <w:rsid w:val="001C7933"/>
    <w:rsid w:val="001D0F55"/>
    <w:rsid w:val="001D10C1"/>
    <w:rsid w:val="001D1B3C"/>
    <w:rsid w:val="001D37E8"/>
    <w:rsid w:val="001D50BB"/>
    <w:rsid w:val="001E0A25"/>
    <w:rsid w:val="001E17EB"/>
    <w:rsid w:val="001E1DE5"/>
    <w:rsid w:val="001E28D5"/>
    <w:rsid w:val="001E6929"/>
    <w:rsid w:val="001E7E4C"/>
    <w:rsid w:val="001F30F9"/>
    <w:rsid w:val="001F521A"/>
    <w:rsid w:val="001F5958"/>
    <w:rsid w:val="001F7C3A"/>
    <w:rsid w:val="002028A7"/>
    <w:rsid w:val="0020382F"/>
    <w:rsid w:val="00211978"/>
    <w:rsid w:val="0021755A"/>
    <w:rsid w:val="00220F2B"/>
    <w:rsid w:val="002216E0"/>
    <w:rsid w:val="00227567"/>
    <w:rsid w:val="00231530"/>
    <w:rsid w:val="00231CB6"/>
    <w:rsid w:val="00231DCB"/>
    <w:rsid w:val="0024215B"/>
    <w:rsid w:val="00245523"/>
    <w:rsid w:val="00250DFD"/>
    <w:rsid w:val="002530C0"/>
    <w:rsid w:val="00256D32"/>
    <w:rsid w:val="0026068F"/>
    <w:rsid w:val="00284B85"/>
    <w:rsid w:val="0028637A"/>
    <w:rsid w:val="002903A9"/>
    <w:rsid w:val="002925D2"/>
    <w:rsid w:val="00294F3F"/>
    <w:rsid w:val="002A1768"/>
    <w:rsid w:val="002A195C"/>
    <w:rsid w:val="002A2420"/>
    <w:rsid w:val="002A459A"/>
    <w:rsid w:val="002B156E"/>
    <w:rsid w:val="002B2328"/>
    <w:rsid w:val="002B7735"/>
    <w:rsid w:val="002C1013"/>
    <w:rsid w:val="002D3ABB"/>
    <w:rsid w:val="002D5728"/>
    <w:rsid w:val="002E10CD"/>
    <w:rsid w:val="002E1C32"/>
    <w:rsid w:val="002E6074"/>
    <w:rsid w:val="002E66DD"/>
    <w:rsid w:val="002F4ED6"/>
    <w:rsid w:val="002F5A4D"/>
    <w:rsid w:val="002F63DA"/>
    <w:rsid w:val="00301DAB"/>
    <w:rsid w:val="003029B4"/>
    <w:rsid w:val="0031284E"/>
    <w:rsid w:val="00316141"/>
    <w:rsid w:val="003169F3"/>
    <w:rsid w:val="003221B3"/>
    <w:rsid w:val="00334FFA"/>
    <w:rsid w:val="00336065"/>
    <w:rsid w:val="00345867"/>
    <w:rsid w:val="00346578"/>
    <w:rsid w:val="0036063A"/>
    <w:rsid w:val="003610EB"/>
    <w:rsid w:val="00370EF9"/>
    <w:rsid w:val="00371ACE"/>
    <w:rsid w:val="00373547"/>
    <w:rsid w:val="00381B30"/>
    <w:rsid w:val="00396DB9"/>
    <w:rsid w:val="003B5321"/>
    <w:rsid w:val="003C0793"/>
    <w:rsid w:val="003F0B5E"/>
    <w:rsid w:val="003F3893"/>
    <w:rsid w:val="003F58FB"/>
    <w:rsid w:val="004019BA"/>
    <w:rsid w:val="004064FB"/>
    <w:rsid w:val="00406841"/>
    <w:rsid w:val="004241E1"/>
    <w:rsid w:val="004264C3"/>
    <w:rsid w:val="004324CE"/>
    <w:rsid w:val="00432C0E"/>
    <w:rsid w:val="004345D8"/>
    <w:rsid w:val="00436443"/>
    <w:rsid w:val="0045005E"/>
    <w:rsid w:val="004512B0"/>
    <w:rsid w:val="00452873"/>
    <w:rsid w:val="00462D8F"/>
    <w:rsid w:val="004679D8"/>
    <w:rsid w:val="0047041E"/>
    <w:rsid w:val="00472ABE"/>
    <w:rsid w:val="00473167"/>
    <w:rsid w:val="00480E57"/>
    <w:rsid w:val="00481616"/>
    <w:rsid w:val="00481EBA"/>
    <w:rsid w:val="004877AC"/>
    <w:rsid w:val="00494006"/>
    <w:rsid w:val="004949BD"/>
    <w:rsid w:val="00495D39"/>
    <w:rsid w:val="004A1F30"/>
    <w:rsid w:val="004B3674"/>
    <w:rsid w:val="004C645E"/>
    <w:rsid w:val="004D3373"/>
    <w:rsid w:val="004D535F"/>
    <w:rsid w:val="004D575E"/>
    <w:rsid w:val="004E0309"/>
    <w:rsid w:val="004E0D8A"/>
    <w:rsid w:val="004E2D3D"/>
    <w:rsid w:val="004E3BEC"/>
    <w:rsid w:val="004F1E4F"/>
    <w:rsid w:val="005011BB"/>
    <w:rsid w:val="00507D5F"/>
    <w:rsid w:val="00516B49"/>
    <w:rsid w:val="0052107E"/>
    <w:rsid w:val="00521A53"/>
    <w:rsid w:val="005317BC"/>
    <w:rsid w:val="00531CE2"/>
    <w:rsid w:val="005322D5"/>
    <w:rsid w:val="0053325D"/>
    <w:rsid w:val="00533BCA"/>
    <w:rsid w:val="00536983"/>
    <w:rsid w:val="00545786"/>
    <w:rsid w:val="0054738E"/>
    <w:rsid w:val="00551D63"/>
    <w:rsid w:val="005564D9"/>
    <w:rsid w:val="0056203F"/>
    <w:rsid w:val="0056375A"/>
    <w:rsid w:val="00565A9C"/>
    <w:rsid w:val="00567924"/>
    <w:rsid w:val="005729F0"/>
    <w:rsid w:val="005742AE"/>
    <w:rsid w:val="00574820"/>
    <w:rsid w:val="005956C1"/>
    <w:rsid w:val="00596984"/>
    <w:rsid w:val="005A0738"/>
    <w:rsid w:val="005A69AB"/>
    <w:rsid w:val="005B1548"/>
    <w:rsid w:val="005B3546"/>
    <w:rsid w:val="005B5211"/>
    <w:rsid w:val="005B5F39"/>
    <w:rsid w:val="005C0703"/>
    <w:rsid w:val="005C1E8F"/>
    <w:rsid w:val="005C2839"/>
    <w:rsid w:val="005C699B"/>
    <w:rsid w:val="005C6CCA"/>
    <w:rsid w:val="005C76A8"/>
    <w:rsid w:val="005E13AD"/>
    <w:rsid w:val="005E1AA0"/>
    <w:rsid w:val="005E336B"/>
    <w:rsid w:val="005E3C7A"/>
    <w:rsid w:val="005E4D3C"/>
    <w:rsid w:val="005F42C2"/>
    <w:rsid w:val="006005DB"/>
    <w:rsid w:val="00600A57"/>
    <w:rsid w:val="00600BF6"/>
    <w:rsid w:val="00604107"/>
    <w:rsid w:val="00605D3A"/>
    <w:rsid w:val="00610726"/>
    <w:rsid w:val="00610E19"/>
    <w:rsid w:val="00613982"/>
    <w:rsid w:val="006143C8"/>
    <w:rsid w:val="00617B1E"/>
    <w:rsid w:val="00630F6A"/>
    <w:rsid w:val="00631FC6"/>
    <w:rsid w:val="006338A5"/>
    <w:rsid w:val="006450E7"/>
    <w:rsid w:val="006473DE"/>
    <w:rsid w:val="00656680"/>
    <w:rsid w:val="00666435"/>
    <w:rsid w:val="00667DC1"/>
    <w:rsid w:val="00674701"/>
    <w:rsid w:val="00680842"/>
    <w:rsid w:val="00680BB0"/>
    <w:rsid w:val="00680E98"/>
    <w:rsid w:val="00682E96"/>
    <w:rsid w:val="00686BB3"/>
    <w:rsid w:val="006A0E79"/>
    <w:rsid w:val="006B23A0"/>
    <w:rsid w:val="006B560C"/>
    <w:rsid w:val="006C6523"/>
    <w:rsid w:val="006D2979"/>
    <w:rsid w:val="006D4103"/>
    <w:rsid w:val="006D43AA"/>
    <w:rsid w:val="006D50D4"/>
    <w:rsid w:val="006E36D7"/>
    <w:rsid w:val="006E4526"/>
    <w:rsid w:val="006E66A9"/>
    <w:rsid w:val="006F552B"/>
    <w:rsid w:val="006F6F0C"/>
    <w:rsid w:val="007036A5"/>
    <w:rsid w:val="007053CD"/>
    <w:rsid w:val="00706097"/>
    <w:rsid w:val="00706831"/>
    <w:rsid w:val="00713E86"/>
    <w:rsid w:val="00715450"/>
    <w:rsid w:val="0072140E"/>
    <w:rsid w:val="00722EB5"/>
    <w:rsid w:val="00723C1B"/>
    <w:rsid w:val="00733976"/>
    <w:rsid w:val="00735698"/>
    <w:rsid w:val="00743E5D"/>
    <w:rsid w:val="00743F2F"/>
    <w:rsid w:val="007537F7"/>
    <w:rsid w:val="00753CDD"/>
    <w:rsid w:val="00754A1B"/>
    <w:rsid w:val="00757D56"/>
    <w:rsid w:val="00764E7B"/>
    <w:rsid w:val="00767F15"/>
    <w:rsid w:val="0077576F"/>
    <w:rsid w:val="00781750"/>
    <w:rsid w:val="00785486"/>
    <w:rsid w:val="00791346"/>
    <w:rsid w:val="00791ED6"/>
    <w:rsid w:val="007A0A2F"/>
    <w:rsid w:val="007A1DF9"/>
    <w:rsid w:val="007A32EE"/>
    <w:rsid w:val="007B1096"/>
    <w:rsid w:val="007C4952"/>
    <w:rsid w:val="007D2D5B"/>
    <w:rsid w:val="007D3650"/>
    <w:rsid w:val="007D7E5B"/>
    <w:rsid w:val="007E0801"/>
    <w:rsid w:val="007E412C"/>
    <w:rsid w:val="007E49F4"/>
    <w:rsid w:val="007F14F9"/>
    <w:rsid w:val="00801E56"/>
    <w:rsid w:val="00805680"/>
    <w:rsid w:val="00814BB1"/>
    <w:rsid w:val="008274A4"/>
    <w:rsid w:val="00830758"/>
    <w:rsid w:val="0083656D"/>
    <w:rsid w:val="008415C6"/>
    <w:rsid w:val="00841E01"/>
    <w:rsid w:val="00850D57"/>
    <w:rsid w:val="00852691"/>
    <w:rsid w:val="00852EB1"/>
    <w:rsid w:val="00857375"/>
    <w:rsid w:val="00860A62"/>
    <w:rsid w:val="0086151C"/>
    <w:rsid w:val="00861D4E"/>
    <w:rsid w:val="00873F81"/>
    <w:rsid w:val="00881A57"/>
    <w:rsid w:val="0088208E"/>
    <w:rsid w:val="00885B19"/>
    <w:rsid w:val="008860A7"/>
    <w:rsid w:val="008910BE"/>
    <w:rsid w:val="008B1431"/>
    <w:rsid w:val="008B3073"/>
    <w:rsid w:val="008C023E"/>
    <w:rsid w:val="008C343C"/>
    <w:rsid w:val="008D04D2"/>
    <w:rsid w:val="008E0A47"/>
    <w:rsid w:val="008E3465"/>
    <w:rsid w:val="008E5E7E"/>
    <w:rsid w:val="008F2095"/>
    <w:rsid w:val="008F2BC0"/>
    <w:rsid w:val="008F412D"/>
    <w:rsid w:val="008F72A9"/>
    <w:rsid w:val="008F7567"/>
    <w:rsid w:val="00911C32"/>
    <w:rsid w:val="009120BD"/>
    <w:rsid w:val="00913871"/>
    <w:rsid w:val="009159B8"/>
    <w:rsid w:val="009311E3"/>
    <w:rsid w:val="00933D03"/>
    <w:rsid w:val="009417F1"/>
    <w:rsid w:val="00941CA8"/>
    <w:rsid w:val="009430C5"/>
    <w:rsid w:val="00943547"/>
    <w:rsid w:val="0094748F"/>
    <w:rsid w:val="009715A8"/>
    <w:rsid w:val="00994801"/>
    <w:rsid w:val="00994A74"/>
    <w:rsid w:val="009A2762"/>
    <w:rsid w:val="009A347C"/>
    <w:rsid w:val="009A6CB0"/>
    <w:rsid w:val="009B0D66"/>
    <w:rsid w:val="009B247B"/>
    <w:rsid w:val="009B42A2"/>
    <w:rsid w:val="009B7E2E"/>
    <w:rsid w:val="009C1070"/>
    <w:rsid w:val="009C4666"/>
    <w:rsid w:val="009E1774"/>
    <w:rsid w:val="009E1D24"/>
    <w:rsid w:val="009E53AA"/>
    <w:rsid w:val="009F7304"/>
    <w:rsid w:val="009F7FB8"/>
    <w:rsid w:val="00A021C6"/>
    <w:rsid w:val="00A02827"/>
    <w:rsid w:val="00A06C35"/>
    <w:rsid w:val="00A11C66"/>
    <w:rsid w:val="00A26BA4"/>
    <w:rsid w:val="00A27CA6"/>
    <w:rsid w:val="00A27DDA"/>
    <w:rsid w:val="00A31877"/>
    <w:rsid w:val="00A5372E"/>
    <w:rsid w:val="00A55712"/>
    <w:rsid w:val="00A5692A"/>
    <w:rsid w:val="00A609D6"/>
    <w:rsid w:val="00A61495"/>
    <w:rsid w:val="00A62AD8"/>
    <w:rsid w:val="00A62B68"/>
    <w:rsid w:val="00A631B4"/>
    <w:rsid w:val="00A64106"/>
    <w:rsid w:val="00A67A13"/>
    <w:rsid w:val="00A72A8E"/>
    <w:rsid w:val="00A75DD4"/>
    <w:rsid w:val="00A8728B"/>
    <w:rsid w:val="00A94266"/>
    <w:rsid w:val="00A95C93"/>
    <w:rsid w:val="00A97D1C"/>
    <w:rsid w:val="00AA3520"/>
    <w:rsid w:val="00AA496C"/>
    <w:rsid w:val="00AA5CB0"/>
    <w:rsid w:val="00AB2AB4"/>
    <w:rsid w:val="00AB4304"/>
    <w:rsid w:val="00AB503A"/>
    <w:rsid w:val="00AB734E"/>
    <w:rsid w:val="00AB7F20"/>
    <w:rsid w:val="00AC0160"/>
    <w:rsid w:val="00AC35DD"/>
    <w:rsid w:val="00AC7EC9"/>
    <w:rsid w:val="00AD0638"/>
    <w:rsid w:val="00AD475D"/>
    <w:rsid w:val="00AD7EE2"/>
    <w:rsid w:val="00AF4051"/>
    <w:rsid w:val="00B02942"/>
    <w:rsid w:val="00B02CD2"/>
    <w:rsid w:val="00B04ADC"/>
    <w:rsid w:val="00B06215"/>
    <w:rsid w:val="00B0652A"/>
    <w:rsid w:val="00B1061D"/>
    <w:rsid w:val="00B202C4"/>
    <w:rsid w:val="00B20CDC"/>
    <w:rsid w:val="00B21428"/>
    <w:rsid w:val="00B24518"/>
    <w:rsid w:val="00B27199"/>
    <w:rsid w:val="00B300E7"/>
    <w:rsid w:val="00B30AF2"/>
    <w:rsid w:val="00B31501"/>
    <w:rsid w:val="00B31FC5"/>
    <w:rsid w:val="00B34D6A"/>
    <w:rsid w:val="00B4474B"/>
    <w:rsid w:val="00B45D75"/>
    <w:rsid w:val="00B46132"/>
    <w:rsid w:val="00B46C1D"/>
    <w:rsid w:val="00B470A5"/>
    <w:rsid w:val="00B470D2"/>
    <w:rsid w:val="00B51186"/>
    <w:rsid w:val="00B52CD0"/>
    <w:rsid w:val="00B53ED3"/>
    <w:rsid w:val="00B540EC"/>
    <w:rsid w:val="00B6013C"/>
    <w:rsid w:val="00B6192D"/>
    <w:rsid w:val="00B61FFC"/>
    <w:rsid w:val="00B63E31"/>
    <w:rsid w:val="00B64FD1"/>
    <w:rsid w:val="00B70431"/>
    <w:rsid w:val="00B74E62"/>
    <w:rsid w:val="00B76D1C"/>
    <w:rsid w:val="00B81314"/>
    <w:rsid w:val="00B82A9F"/>
    <w:rsid w:val="00B85E4C"/>
    <w:rsid w:val="00B93B58"/>
    <w:rsid w:val="00B97471"/>
    <w:rsid w:val="00BA0D96"/>
    <w:rsid w:val="00BA1974"/>
    <w:rsid w:val="00BA27AA"/>
    <w:rsid w:val="00BA3E96"/>
    <w:rsid w:val="00BB5C41"/>
    <w:rsid w:val="00BC1993"/>
    <w:rsid w:val="00BD24CE"/>
    <w:rsid w:val="00BD35D4"/>
    <w:rsid w:val="00BD6204"/>
    <w:rsid w:val="00BD6B5A"/>
    <w:rsid w:val="00BF0A9F"/>
    <w:rsid w:val="00BF1244"/>
    <w:rsid w:val="00BF5B34"/>
    <w:rsid w:val="00BF7B5E"/>
    <w:rsid w:val="00C010E6"/>
    <w:rsid w:val="00C030F8"/>
    <w:rsid w:val="00C03DFF"/>
    <w:rsid w:val="00C11CCC"/>
    <w:rsid w:val="00C20599"/>
    <w:rsid w:val="00C21974"/>
    <w:rsid w:val="00C3207D"/>
    <w:rsid w:val="00C4475A"/>
    <w:rsid w:val="00C5180F"/>
    <w:rsid w:val="00C7589A"/>
    <w:rsid w:val="00C868BA"/>
    <w:rsid w:val="00C905EA"/>
    <w:rsid w:val="00C91FDB"/>
    <w:rsid w:val="00C92490"/>
    <w:rsid w:val="00CA0841"/>
    <w:rsid w:val="00CA232A"/>
    <w:rsid w:val="00CA421C"/>
    <w:rsid w:val="00CA4872"/>
    <w:rsid w:val="00CA6A73"/>
    <w:rsid w:val="00CC044F"/>
    <w:rsid w:val="00CC6443"/>
    <w:rsid w:val="00CC6BAD"/>
    <w:rsid w:val="00CD04EE"/>
    <w:rsid w:val="00CE12AB"/>
    <w:rsid w:val="00CE172A"/>
    <w:rsid w:val="00CE50F5"/>
    <w:rsid w:val="00CE5FF2"/>
    <w:rsid w:val="00CF3986"/>
    <w:rsid w:val="00CF4A7F"/>
    <w:rsid w:val="00CF4C64"/>
    <w:rsid w:val="00D01F9A"/>
    <w:rsid w:val="00D03991"/>
    <w:rsid w:val="00D16C40"/>
    <w:rsid w:val="00D17971"/>
    <w:rsid w:val="00D33B42"/>
    <w:rsid w:val="00D367EE"/>
    <w:rsid w:val="00D40266"/>
    <w:rsid w:val="00D416B9"/>
    <w:rsid w:val="00D47064"/>
    <w:rsid w:val="00D50951"/>
    <w:rsid w:val="00D50A6D"/>
    <w:rsid w:val="00D61B33"/>
    <w:rsid w:val="00D71991"/>
    <w:rsid w:val="00D71F8F"/>
    <w:rsid w:val="00D77473"/>
    <w:rsid w:val="00D8086D"/>
    <w:rsid w:val="00D84B05"/>
    <w:rsid w:val="00D94CEA"/>
    <w:rsid w:val="00DB2B7D"/>
    <w:rsid w:val="00DD0934"/>
    <w:rsid w:val="00DD30DA"/>
    <w:rsid w:val="00DD751D"/>
    <w:rsid w:val="00DE0EF2"/>
    <w:rsid w:val="00DE188A"/>
    <w:rsid w:val="00DE3277"/>
    <w:rsid w:val="00DF382C"/>
    <w:rsid w:val="00DF4873"/>
    <w:rsid w:val="00E0188F"/>
    <w:rsid w:val="00E07126"/>
    <w:rsid w:val="00E07C35"/>
    <w:rsid w:val="00E10B0C"/>
    <w:rsid w:val="00E15089"/>
    <w:rsid w:val="00E1514D"/>
    <w:rsid w:val="00E16C1A"/>
    <w:rsid w:val="00E20E93"/>
    <w:rsid w:val="00E224CB"/>
    <w:rsid w:val="00E239AE"/>
    <w:rsid w:val="00E40FEF"/>
    <w:rsid w:val="00E44469"/>
    <w:rsid w:val="00E46640"/>
    <w:rsid w:val="00E51FB0"/>
    <w:rsid w:val="00E56CAF"/>
    <w:rsid w:val="00E574DC"/>
    <w:rsid w:val="00E615DC"/>
    <w:rsid w:val="00E621BB"/>
    <w:rsid w:val="00E63C65"/>
    <w:rsid w:val="00E66A24"/>
    <w:rsid w:val="00E73E5C"/>
    <w:rsid w:val="00E74260"/>
    <w:rsid w:val="00E826F8"/>
    <w:rsid w:val="00E871BE"/>
    <w:rsid w:val="00E91CD1"/>
    <w:rsid w:val="00EA046E"/>
    <w:rsid w:val="00EA76B7"/>
    <w:rsid w:val="00EB54C7"/>
    <w:rsid w:val="00EC1EC1"/>
    <w:rsid w:val="00EC538E"/>
    <w:rsid w:val="00ED2BC8"/>
    <w:rsid w:val="00ED4727"/>
    <w:rsid w:val="00ED52E9"/>
    <w:rsid w:val="00EF7069"/>
    <w:rsid w:val="00F10358"/>
    <w:rsid w:val="00F1593F"/>
    <w:rsid w:val="00F20E1D"/>
    <w:rsid w:val="00F216BB"/>
    <w:rsid w:val="00F2521C"/>
    <w:rsid w:val="00F43E54"/>
    <w:rsid w:val="00F4456A"/>
    <w:rsid w:val="00F45F2E"/>
    <w:rsid w:val="00F55246"/>
    <w:rsid w:val="00F5613F"/>
    <w:rsid w:val="00F601EB"/>
    <w:rsid w:val="00F61FDF"/>
    <w:rsid w:val="00F74EDA"/>
    <w:rsid w:val="00F83F04"/>
    <w:rsid w:val="00F929A2"/>
    <w:rsid w:val="00F930F0"/>
    <w:rsid w:val="00F9773C"/>
    <w:rsid w:val="00FA1635"/>
    <w:rsid w:val="00FB4EA6"/>
    <w:rsid w:val="00FB6F01"/>
    <w:rsid w:val="00FC0E41"/>
    <w:rsid w:val="00FC284C"/>
    <w:rsid w:val="00FC30FD"/>
    <w:rsid w:val="00FC49AE"/>
    <w:rsid w:val="00FD155F"/>
    <w:rsid w:val="00FF0B3F"/>
    <w:rsid w:val="03EBE87D"/>
    <w:rsid w:val="27B2224D"/>
    <w:rsid w:val="4371D686"/>
    <w:rsid w:val="4B713CBC"/>
    <w:rsid w:val="51173CE2"/>
    <w:rsid w:val="5270AD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F1AF"/>
  <w15:chartTrackingRefBased/>
  <w15:docId w15:val="{1768A0A5-248B-474C-B855-F7C597B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636A"/>
    <w:pPr>
      <w:widowControl w:val="0"/>
      <w:suppressAutoHyphens/>
      <w:spacing w:after="0" w:line="238" w:lineRule="exact"/>
      <w:jc w:val="both"/>
    </w:pPr>
    <w:rPr>
      <w:rFonts w:ascii="Times New Roman" w:eastAsia="SimSun" w:hAnsi="Times New Roman" w:cs="Times New Roman"/>
      <w:kern w:val="1"/>
      <w:lang w:eastAsia="zh-CN" w:bidi="hi-IN"/>
      <w14:ligatures w14:val="none"/>
    </w:rPr>
  </w:style>
  <w:style w:type="paragraph" w:styleId="Pealkiri1">
    <w:name w:val="heading 1"/>
    <w:basedOn w:val="Normaallaad"/>
    <w:next w:val="Normaallaad"/>
    <w:link w:val="Pealkiri1Mrk"/>
    <w:uiPriority w:val="9"/>
    <w:qFormat/>
    <w:rsid w:val="00066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66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06636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6636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6636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6636A"/>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6636A"/>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6636A"/>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6636A"/>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6636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6636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06636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6636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6636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6636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6636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6636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6636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66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6636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6636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6636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6636A"/>
    <w:pPr>
      <w:spacing w:before="160"/>
      <w:jc w:val="center"/>
    </w:pPr>
    <w:rPr>
      <w:i/>
      <w:iCs/>
      <w:color w:val="404040" w:themeColor="text1" w:themeTint="BF"/>
    </w:rPr>
  </w:style>
  <w:style w:type="character" w:customStyle="1" w:styleId="TsitaatMrk">
    <w:name w:val="Tsitaat Märk"/>
    <w:basedOn w:val="Liguvaikefont"/>
    <w:link w:val="Tsitaat"/>
    <w:uiPriority w:val="29"/>
    <w:rsid w:val="0006636A"/>
    <w:rPr>
      <w:i/>
      <w:iCs/>
      <w:color w:val="404040" w:themeColor="text1" w:themeTint="BF"/>
    </w:rPr>
  </w:style>
  <w:style w:type="paragraph" w:styleId="Loendilik">
    <w:name w:val="List Paragraph"/>
    <w:aliases w:val="Liste - CTIE,Normaalne kehatekst,Loendi l›ik,Mummuga loetelu,List (bullet),List Paragraph1,Numbered List,ERP-List Paragraph,List Paragraph11,Bullet EY,List (services),Loetelu (bulletid),Loend - ÄN,Loend - KI,Heading 1 Hidden"/>
    <w:basedOn w:val="Normaallaad"/>
    <w:link w:val="LoendilikMrk"/>
    <w:uiPriority w:val="34"/>
    <w:qFormat/>
    <w:rsid w:val="0006636A"/>
    <w:pPr>
      <w:ind w:left="720"/>
      <w:contextualSpacing/>
    </w:pPr>
  </w:style>
  <w:style w:type="character" w:styleId="Selgeltmrgatavrhutus">
    <w:name w:val="Intense Emphasis"/>
    <w:basedOn w:val="Liguvaikefont"/>
    <w:uiPriority w:val="21"/>
    <w:qFormat/>
    <w:rsid w:val="0006636A"/>
    <w:rPr>
      <w:i/>
      <w:iCs/>
      <w:color w:val="0F4761" w:themeColor="accent1" w:themeShade="BF"/>
    </w:rPr>
  </w:style>
  <w:style w:type="paragraph" w:styleId="Selgeltmrgatavtsitaat">
    <w:name w:val="Intense Quote"/>
    <w:basedOn w:val="Normaallaad"/>
    <w:next w:val="Normaallaad"/>
    <w:link w:val="SelgeltmrgatavtsitaatMrk"/>
    <w:uiPriority w:val="30"/>
    <w:qFormat/>
    <w:rsid w:val="00066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6636A"/>
    <w:rPr>
      <w:i/>
      <w:iCs/>
      <w:color w:val="0F4761" w:themeColor="accent1" w:themeShade="BF"/>
    </w:rPr>
  </w:style>
  <w:style w:type="character" w:styleId="Selgeltmrgatavviide">
    <w:name w:val="Intense Reference"/>
    <w:basedOn w:val="Liguvaikefont"/>
    <w:uiPriority w:val="32"/>
    <w:qFormat/>
    <w:rsid w:val="0006636A"/>
    <w:rPr>
      <w:b/>
      <w:bCs/>
      <w:smallCaps/>
      <w:color w:val="0F4761" w:themeColor="accent1" w:themeShade="BF"/>
      <w:spacing w:val="5"/>
    </w:rPr>
  </w:style>
  <w:style w:type="character" w:styleId="Hperlink">
    <w:name w:val="Hyperlink"/>
    <w:basedOn w:val="Liguvaikefont"/>
    <w:uiPriority w:val="99"/>
    <w:rsid w:val="0006636A"/>
    <w:rPr>
      <w:rFonts w:cs="Times New Roman"/>
      <w:color w:val="000080"/>
      <w:u w:val="single"/>
    </w:rPr>
  </w:style>
  <w:style w:type="paragraph" w:customStyle="1" w:styleId="TableContents">
    <w:name w:val="Table Contents"/>
    <w:basedOn w:val="Normaallaad"/>
    <w:rsid w:val="0006636A"/>
    <w:pPr>
      <w:suppressLineNumbers/>
    </w:pPr>
  </w:style>
  <w:style w:type="paragraph" w:customStyle="1" w:styleId="Adressaat">
    <w:name w:val="Adressaat"/>
    <w:autoRedefine/>
    <w:qFormat/>
    <w:rsid w:val="0006636A"/>
    <w:pPr>
      <w:spacing w:after="0" w:line="240" w:lineRule="auto"/>
    </w:pPr>
    <w:rPr>
      <w:rFonts w:ascii="Times New Roman" w:eastAsia="SimSun" w:hAnsi="Times New Roman" w:cs="Times New Roman"/>
      <w:kern w:val="24"/>
      <w:lang w:eastAsia="zh-CN" w:bidi="hi-IN"/>
      <w14:ligatures w14:val="none"/>
    </w:rPr>
  </w:style>
  <w:style w:type="paragraph" w:customStyle="1" w:styleId="Snum">
    <w:name w:val="Sõnum"/>
    <w:autoRedefine/>
    <w:qFormat/>
    <w:rsid w:val="00025644"/>
    <w:pPr>
      <w:spacing w:after="0" w:line="240" w:lineRule="auto"/>
      <w:ind w:left="720"/>
    </w:pPr>
    <w:rPr>
      <w:rFonts w:ascii="Times New Roman" w:hAnsi="Times New Roman" w:cs="Times New Roman"/>
      <w:b/>
      <w:kern w:val="0"/>
      <w14:ligatures w14:val="none"/>
    </w:rPr>
  </w:style>
  <w:style w:type="paragraph" w:customStyle="1" w:styleId="Vahedeta1">
    <w:name w:val="Vahedeta1"/>
    <w:link w:val="NoSpacingChar"/>
    <w:uiPriority w:val="99"/>
    <w:qFormat/>
    <w:rsid w:val="0006636A"/>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Vahedeta1"/>
    <w:uiPriority w:val="99"/>
    <w:locked/>
    <w:rsid w:val="0006636A"/>
    <w:rPr>
      <w:rFonts w:ascii="Calibri" w:eastAsia="Times New Roman" w:hAnsi="Calibri" w:cs="Times New Roman"/>
      <w:kern w:val="0"/>
      <w:sz w:val="22"/>
      <w:szCs w:val="22"/>
      <w:lang w:val="en-US"/>
      <w14:ligatures w14:val="none"/>
    </w:rPr>
  </w:style>
  <w:style w:type="paragraph" w:styleId="Allmrkusetekst">
    <w:name w:val="footnote text"/>
    <w:basedOn w:val="Normaallaad"/>
    <w:link w:val="AllmrkusetekstMrk"/>
    <w:uiPriority w:val="99"/>
    <w:unhideWhenUsed/>
    <w:rsid w:val="0006636A"/>
    <w:pPr>
      <w:spacing w:line="240" w:lineRule="auto"/>
    </w:pPr>
    <w:rPr>
      <w:rFonts w:cs="Mangal"/>
      <w:sz w:val="20"/>
      <w:szCs w:val="18"/>
    </w:rPr>
  </w:style>
  <w:style w:type="character" w:customStyle="1" w:styleId="AllmrkusetekstMrk">
    <w:name w:val="Allmärkuse tekst Märk"/>
    <w:basedOn w:val="Liguvaikefont"/>
    <w:link w:val="Allmrkusetekst"/>
    <w:uiPriority w:val="99"/>
    <w:rsid w:val="0006636A"/>
    <w:rPr>
      <w:rFonts w:ascii="Times New Roman" w:eastAsia="SimSun" w:hAnsi="Times New Roman" w:cs="Mangal"/>
      <w:kern w:val="1"/>
      <w:sz w:val="20"/>
      <w:szCs w:val="18"/>
      <w:lang w:eastAsia="zh-CN" w:bidi="hi-IN"/>
      <w14:ligatures w14:val="none"/>
    </w:rPr>
  </w:style>
  <w:style w:type="character" w:styleId="Allmrkuseviide">
    <w:name w:val="footnote reference"/>
    <w:basedOn w:val="Liguvaikefont"/>
    <w:uiPriority w:val="99"/>
    <w:unhideWhenUsed/>
    <w:rsid w:val="0006636A"/>
    <w:rPr>
      <w:rFonts w:cs="Times New Roman"/>
      <w:vertAlign w:val="superscript"/>
    </w:rPr>
  </w:style>
  <w:style w:type="paragraph" w:customStyle="1" w:styleId="Default">
    <w:name w:val="Default"/>
    <w:rsid w:val="0006636A"/>
    <w:pPr>
      <w:autoSpaceDE w:val="0"/>
      <w:autoSpaceDN w:val="0"/>
      <w:adjustRightInd w:val="0"/>
      <w:spacing w:after="0" w:line="240" w:lineRule="auto"/>
    </w:pPr>
    <w:rPr>
      <w:rFonts w:ascii="Verdana" w:eastAsia="Times New Roman" w:hAnsi="Verdana" w:cs="Verdana"/>
      <w:color w:val="000000"/>
      <w:kern w:val="0"/>
      <w:lang w:eastAsia="et-EE"/>
      <w14:ligatures w14:val="none"/>
    </w:rPr>
  </w:style>
  <w:style w:type="paragraph" w:styleId="Vahedeta">
    <w:name w:val="No Spacing"/>
    <w:uiPriority w:val="1"/>
    <w:qFormat/>
    <w:rsid w:val="0006636A"/>
    <w:pPr>
      <w:widowControl w:val="0"/>
      <w:suppressAutoHyphens/>
      <w:spacing w:after="0" w:line="240" w:lineRule="auto"/>
      <w:jc w:val="both"/>
    </w:pPr>
    <w:rPr>
      <w:rFonts w:ascii="Times New Roman" w:eastAsia="SimSun" w:hAnsi="Times New Roman" w:cs="Mangal"/>
      <w:kern w:val="1"/>
      <w:szCs w:val="21"/>
      <w:lang w:eastAsia="zh-CN" w:bidi="hi-IN"/>
      <w14:ligatures w14:val="none"/>
    </w:rPr>
  </w:style>
  <w:style w:type="character" w:customStyle="1" w:styleId="LoendilikMrk">
    <w:name w:val="Loendi lõik Märk"/>
    <w:aliases w:val="Liste - CTIE Märk,Normaalne kehatekst Märk,Loendi l›ik Märk,Mummuga loetelu Märk,List (bullet) Märk,List Paragraph1 Märk,Numbered List Märk,ERP-List Paragraph Märk,List Paragraph11 Märk,Bullet EY Märk,List (services) Märk"/>
    <w:link w:val="Loendilik"/>
    <w:uiPriority w:val="34"/>
    <w:qFormat/>
    <w:locked/>
    <w:rsid w:val="0006636A"/>
  </w:style>
  <w:style w:type="character" w:styleId="Lahendamatamainimine">
    <w:name w:val="Unresolved Mention"/>
    <w:basedOn w:val="Liguvaikefont"/>
    <w:uiPriority w:val="99"/>
    <w:semiHidden/>
    <w:unhideWhenUsed/>
    <w:rsid w:val="0006636A"/>
    <w:rPr>
      <w:color w:val="605E5C"/>
      <w:shd w:val="clear" w:color="auto" w:fill="E1DFDD"/>
    </w:rPr>
  </w:style>
  <w:style w:type="paragraph" w:styleId="Normaallaadveeb">
    <w:name w:val="Normal (Web)"/>
    <w:basedOn w:val="Normaallaad"/>
    <w:uiPriority w:val="99"/>
    <w:unhideWhenUsed/>
    <w:rsid w:val="00814BB1"/>
    <w:pPr>
      <w:widowControl/>
      <w:suppressAutoHyphens w:val="0"/>
      <w:spacing w:before="100" w:beforeAutospacing="1" w:after="100" w:afterAutospacing="1" w:line="240" w:lineRule="auto"/>
      <w:jc w:val="left"/>
    </w:pPr>
    <w:rPr>
      <w:rFonts w:eastAsia="Times New Roman"/>
      <w:kern w:val="0"/>
      <w:lang w:eastAsia="et-EE" w:bidi="ar-SA"/>
    </w:rPr>
  </w:style>
  <w:style w:type="paragraph" w:styleId="Pis">
    <w:name w:val="header"/>
    <w:basedOn w:val="Normaallaad"/>
    <w:link w:val="PisMrk"/>
    <w:uiPriority w:val="99"/>
    <w:semiHidden/>
    <w:unhideWhenUsed/>
    <w:rsid w:val="00E871BE"/>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semiHidden/>
    <w:rsid w:val="00E871BE"/>
    <w:rPr>
      <w:rFonts w:ascii="Times New Roman" w:eastAsia="SimSun" w:hAnsi="Times New Roman" w:cs="Mangal"/>
      <w:kern w:val="1"/>
      <w:szCs w:val="21"/>
      <w:lang w:eastAsia="zh-CN" w:bidi="hi-IN"/>
      <w14:ligatures w14:val="none"/>
    </w:rPr>
  </w:style>
  <w:style w:type="paragraph" w:styleId="Jalus">
    <w:name w:val="footer"/>
    <w:basedOn w:val="Normaallaad"/>
    <w:link w:val="JalusMrk"/>
    <w:uiPriority w:val="99"/>
    <w:semiHidden/>
    <w:unhideWhenUsed/>
    <w:rsid w:val="00E871BE"/>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E871BE"/>
    <w:rPr>
      <w:rFonts w:ascii="Times New Roman" w:eastAsia="SimSun" w:hAnsi="Times New Roman" w:cs="Mangal"/>
      <w:kern w:val="1"/>
      <w:szCs w:val="21"/>
      <w:lang w:eastAsia="zh-CN" w:bidi="hi-IN"/>
      <w14:ligatures w14:val="none"/>
    </w:rPr>
  </w:style>
  <w:style w:type="paragraph" w:styleId="Redaktsioon">
    <w:name w:val="Revision"/>
    <w:hidden/>
    <w:uiPriority w:val="99"/>
    <w:semiHidden/>
    <w:rsid w:val="005C1E8F"/>
    <w:pPr>
      <w:spacing w:after="0" w:line="240" w:lineRule="auto"/>
    </w:pPr>
    <w:rPr>
      <w:rFonts w:ascii="Times New Roman" w:eastAsia="SimSun" w:hAnsi="Times New Roman" w:cs="Mangal"/>
      <w:kern w:val="1"/>
      <w:szCs w:val="21"/>
      <w:lang w:eastAsia="zh-CN" w:bidi="hi-IN"/>
      <w14:ligatures w14:val="none"/>
    </w:rPr>
  </w:style>
  <w:style w:type="character" w:styleId="Klastatudhperlink">
    <w:name w:val="FollowedHyperlink"/>
    <w:basedOn w:val="Liguvaikefont"/>
    <w:uiPriority w:val="99"/>
    <w:semiHidden/>
    <w:unhideWhenUsed/>
    <w:rsid w:val="00BC1993"/>
    <w:rPr>
      <w:color w:val="96607D" w:themeColor="followedHyperlink"/>
      <w:u w:val="single"/>
    </w:rPr>
  </w:style>
  <w:style w:type="paragraph" w:styleId="Kommentaaritekst">
    <w:name w:val="annotation text"/>
    <w:basedOn w:val="Normaallaad"/>
    <w:link w:val="KommentaaritekstMrk"/>
    <w:uiPriority w:val="99"/>
    <w:semiHidden/>
    <w:unhideWhenUsed/>
    <w:rsid w:val="00E63C65"/>
    <w:pPr>
      <w:spacing w:line="240" w:lineRule="auto"/>
    </w:pPr>
    <w:rPr>
      <w:rFonts w:cs="Mangal"/>
      <w:sz w:val="20"/>
      <w:szCs w:val="18"/>
    </w:rPr>
  </w:style>
  <w:style w:type="character" w:customStyle="1" w:styleId="KommentaaritekstMrk">
    <w:name w:val="Kommentaari tekst Märk"/>
    <w:basedOn w:val="Liguvaikefont"/>
    <w:link w:val="Kommentaaritekst"/>
    <w:uiPriority w:val="99"/>
    <w:semiHidden/>
    <w:rsid w:val="00E63C65"/>
    <w:rPr>
      <w:rFonts w:ascii="Times New Roman" w:eastAsia="SimSun" w:hAnsi="Times New Roman" w:cs="Mangal"/>
      <w:kern w:val="1"/>
      <w:sz w:val="20"/>
      <w:szCs w:val="18"/>
      <w:lang w:eastAsia="zh-CN" w:bidi="hi-IN"/>
      <w14:ligatures w14:val="none"/>
    </w:rPr>
  </w:style>
  <w:style w:type="character" w:styleId="Kommentaariviide">
    <w:name w:val="annotation reference"/>
    <w:basedOn w:val="Liguvaikefont"/>
    <w:uiPriority w:val="99"/>
    <w:semiHidden/>
    <w:unhideWhenUsed/>
    <w:rsid w:val="00E63C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parind@nove.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ko@fin.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dr.rik.ee/rtk/dokument/1517256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ehtud xmlns="81ca3b5f-1e40-4ca9-a15b-3073b3185693" xsi:nil="true"/>
    <TaxCatchAll xmlns="b8a1d2b4-14fc-4346-bc33-b5e3ce352a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81A7B-9F51-45A2-90F7-FDE1F6FA2483}">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customXml/itemProps2.xml><?xml version="1.0" encoding="utf-8"?>
<ds:datastoreItem xmlns:ds="http://schemas.openxmlformats.org/officeDocument/2006/customXml" ds:itemID="{C5AE779A-75D8-45BC-A77C-0C49A790FF93}">
  <ds:schemaRefs>
    <ds:schemaRef ds:uri="http://schemas.openxmlformats.org/officeDocument/2006/bibliography"/>
  </ds:schemaRefs>
</ds:datastoreItem>
</file>

<file path=customXml/itemProps3.xml><?xml version="1.0" encoding="utf-8"?>
<ds:datastoreItem xmlns:ds="http://schemas.openxmlformats.org/officeDocument/2006/customXml" ds:itemID="{6DF8F03F-B597-4C09-A9E6-C2A54784F8EC}">
  <ds:schemaRefs>
    <ds:schemaRef ds:uri="http://schemas.microsoft.com/sharepoint/v3/contenttype/forms"/>
  </ds:schemaRefs>
</ds:datastoreItem>
</file>

<file path=customXml/itemProps4.xml><?xml version="1.0" encoding="utf-8"?>
<ds:datastoreItem xmlns:ds="http://schemas.openxmlformats.org/officeDocument/2006/customXml" ds:itemID="{D2A7246B-C1A1-4983-AC4E-73CFEA0F4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9945</Characters>
  <Application>Microsoft Office Word</Application>
  <DocSecurity>0</DocSecurity>
  <Lines>82</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Talu - RTK</dc:creator>
  <cp:keywords/>
  <dc:description/>
  <cp:lastModifiedBy>Madina Talu - RTK</cp:lastModifiedBy>
  <cp:revision>2</cp:revision>
  <dcterms:created xsi:type="dcterms:W3CDTF">2026-06-05T16:39:00Z</dcterms:created>
  <dcterms:modified xsi:type="dcterms:W3CDTF">2026-06-05T16:39:00Z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2026-02-25T13:29:55Z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232aca6d-4bf1-445d-863a-3fdefdb1166e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0x01010047F4AECE348FA04D88256EBBB9035709</vt:lpwstr>
  </property>
  <property fmtid="{D5CDD505-2E9C-101B-9397-08002B2CF9AE}" pid="11" name="MediaServiceImageTags">
    <vt:lpwstr/>
  </property>
</Properties>
</file>